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37724_6k.htm"/>
      <w:bookmarkStart w:id="1" w:name="ksdp237724_6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 OF FOREIGN ISSUER</w:t>
        <w:br/>
        <w:t>PURSUANT TO RULE 13a-16 OR 15d-16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November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SUNLANDS TECHNOLOGY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6, Chaolai Science Park, No. 36</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Chuangyuan Road, Chaoyang District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100012, the People’s Republic of China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+86-10-52413738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shd w:fill="FFFFFF" w:val="clear"/>
        <w:tblLayout w:type="fixed"/>
        <w:tblCellMar>
          <w:top w:w="0" w:type="dxa"/>
          <w:left w:w="0" w:type="dxa"/>
          <w:bottom w:w="28" w:type="dxa"/>
          <w:right w:w="0" w:type="dxa"/>
        </w:tblCellMar>
      </w:tblPr>
      <w:tblGrid>
        <w:gridCol w:w="1205"/>
        <w:gridCol w:w="60"/>
        <w:gridCol w:w="1325"/>
      </w:tblGrid>
      <w:tr>
        <w:trPr/>
        <w:tc>
          <w:tcPr>
            <w:tcW w:w="120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hyperlink w:anchor="dp237724_ex9901.htm">
              <w:r>
                <w:rPr>
                  <w:rStyle w:val="InternetLink"/>
                  <w:rFonts w:ascii="Times New Roman;Times;Serif" w:hAnsi="Times New Roman;Times;Serif"/>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hyperlink w:anchor="dp237724_ex9901.htm">
              <w:r>
                <w:rPr>
                  <w:rStyle w:val="InternetLink"/>
                  <w:rFonts w:ascii="Times New Roman;Times;Serif" w:hAnsi="Times New Roman;Times;Serif"/>
                </w:rPr>
                <w:t>Press Release</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470"/>
        <w:gridCol w:w="1925"/>
        <w:gridCol w:w="60"/>
        <w:gridCol w:w="320"/>
        <w:gridCol w:w="635"/>
        <w:gridCol w:w="1955"/>
      </w:tblGrid>
      <w:tr>
        <w:trPr/>
        <w:tc>
          <w:tcPr>
            <w:tcW w:w="23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Sunlands Technology Group</w:t>
            </w:r>
          </w:p>
        </w:tc>
      </w:tr>
      <w:tr>
        <w:trPr/>
        <w:tc>
          <w:tcPr>
            <w:tcW w:w="23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23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25" w:type="dxa"/>
            <w:tcBorders>
              <w:bottom w:val="single" w:sz="8" w:space="0" w:color="000000"/>
            </w:tcBorders>
            <w:tcMar>
              <w:bottom w:w="28" w:type="dxa"/>
            </w:tcMar>
            <w:vAlign w:val="center"/>
          </w:tcPr>
          <w:p>
            <w:pPr>
              <w:pStyle w:val="TableContents"/>
              <w:bidi w:val="0"/>
              <w:spacing w:before="0" w:after="283"/>
              <w:jc w:val="left"/>
              <w:rPr/>
            </w:pPr>
            <w:r>
              <w:rPr/>
              <w:t>November 20, 2025</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Tongbo Liu</w:t>
            </w:r>
          </w:p>
        </w:tc>
      </w:tr>
      <w:tr>
        <w:trPr/>
        <w:tc>
          <w:tcPr>
            <w:tcW w:w="4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Tongbo Liu</w:t>
            </w:r>
          </w:p>
        </w:tc>
      </w:tr>
      <w:tr>
        <w:trPr/>
        <w:tc>
          <w:tcPr>
            <w:tcW w:w="47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2" w:name="dp237724_ex9901.htm"/>
      <w:bookmarkStart w:id="3" w:name="ksdp237724_ex9901"/>
      <w:bookmarkEnd w:id="2"/>
      <w:bookmarkEnd w:id="3"/>
      <w:r>
        <w:rPr/>
        <w:t> </w:t>
      </w:r>
      <w:r>
        <w:br w:type="page"/>
      </w:r>
    </w:p>
    <w:p>
      <w:pPr>
        <w:pStyle w:val="TextBody"/>
        <w:bidi w:val="0"/>
        <w:jc w:val="right"/>
        <w:rPr>
          <w:rFonts w:ascii="Times New Roman;Times;Serif" w:hAnsi="Times New Roman;Times;Serif"/>
          <w:b/>
        </w:rPr>
      </w:pPr>
      <w:r>
        <w:rPr>
          <w:rFonts w:ascii="Times New Roman;Times;Serif" w:hAnsi="Times New Roman;Times;Serif"/>
          <w:b/>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5430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4857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 Announces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November 20</w:t>
      </w:r>
      <w:r>
        <w:rPr>
          <w:rFonts w:ascii="Times New Roman;Times;Serif" w:hAnsi="Times New Roman;Times;Serif"/>
          <w:b/>
          <w:i w:val="false"/>
          <w:caps w:val="false"/>
          <w:smallCaps w:val="false"/>
          <w:sz w:val="20"/>
          <w:shd w:fill="FFFFFF" w:val="clear"/>
        </w:rPr>
        <w:t>, 2025</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shd w:fill="FFFFFF" w:val="clear"/>
        </w:rPr>
        <w:t xml:space="preserve">Sunlands Technology Group </w:t>
      </w:r>
      <w:r>
        <w:rPr>
          <w:rFonts w:ascii="Times New Roman;Times;Serif" w:hAnsi="Times New Roman;Times;Serif"/>
          <w:b w:val="false"/>
          <w:i w:val="false"/>
          <w:caps w:val="false"/>
          <w:smallCaps w:val="false"/>
          <w:sz w:val="20"/>
          <w:shd w:fill="FFFFFF" w:val="clear"/>
        </w:rPr>
        <w:t>(NYSE: STG) (“Sunlands” or the “Company”), a leader in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online education market and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personal interest learning market,</w:t>
      </w:r>
      <w:r>
        <w:rPr>
          <w:rFonts w:ascii="Times New Roman;Times;Serif" w:hAnsi="Times New Roman;Times;Serif"/>
          <w:b w:val="false"/>
          <w:i w:val="false"/>
          <w:caps w:val="false"/>
          <w:smallCaps w:val="false"/>
          <w:sz w:val="20"/>
        </w:rPr>
        <w:t xml:space="preserve"> today announced its unaudited financial </w:t>
      </w:r>
      <w:r>
        <w:rPr>
          <w:rFonts w:ascii="Times New Roman;Times;Serif" w:hAnsi="Times New Roman;Times;Serif"/>
          <w:b w:val="false"/>
          <w:i w:val="false"/>
          <w:caps w:val="false"/>
          <w:smallCaps w:val="false"/>
          <w:sz w:val="20"/>
          <w:shd w:fill="FFFFFF" w:val="clear"/>
        </w:rPr>
        <w:t>results for the third quarter ended September 30,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2025 Financial and Operational Snapshots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RMB523.0 million (US$73.5 million), compared to RMB491.3 million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billings (non-GAAP) were RMB349.2 million (US$49.0 million), compared to RMB360.3 million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RMB462.7 million (US$65.0 million), compared to RMB409.2 million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was RMB125.4 million (US$17.6 million), compared to RMB89.3 million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3"/>
        <w:gridCol w:w="108"/>
        <w:gridCol w:w="10054"/>
      </w:tblGrid>
      <w:tr>
        <w:trPr/>
        <w:tc>
          <w:tcPr>
            <w:tcW w:w="43"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4" w:type="dxa"/>
            <w:tcBorders/>
            <w:shd w:fill="FFFFFF" w:val="clear"/>
            <w:vAlign w:val="center"/>
          </w:tcPr>
          <w:p>
            <w:pPr>
              <w:pStyle w:val="TableContents"/>
              <w:bidi w:val="0"/>
              <w:spacing w:before="0" w:after="283"/>
              <w:jc w:val="both"/>
              <w:rPr/>
            </w:pPr>
            <w:r>
              <w:rPr>
                <w:rFonts w:ascii="Times New Roman;Times;Serif" w:hAnsi="Times New Roman;Times;Serif"/>
                <w:sz w:val="20"/>
              </w:rPr>
              <w:t>Net income margin</w:t>
            </w:r>
            <w:r>
              <w:rPr>
                <w:position w:val="8"/>
                <w:sz w:val="19"/>
              </w:rPr>
              <w:t>1</w:t>
            </w:r>
            <w:r>
              <w:rPr/>
              <w:t xml:space="preserve"> </w:t>
            </w:r>
            <w:r>
              <w:rPr>
                <w:rFonts w:ascii="Times New Roman;Times;Serif" w:hAnsi="Times New Roman;Times;Serif"/>
                <w:sz w:val="20"/>
              </w:rPr>
              <w:t>was 24.0% in the third quarter of 2025, compared to 18.2%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1"/>
        <w:gridCol w:w="129"/>
        <w:gridCol w:w="10025"/>
      </w:tblGrid>
      <w:tr>
        <w:trPr/>
        <w:tc>
          <w:tcPr>
            <w:tcW w:w="51"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5" w:type="dxa"/>
            <w:tcBorders/>
            <w:shd w:fill="FFFFFF" w:val="clear"/>
            <w:vAlign w:val="center"/>
          </w:tcPr>
          <w:p>
            <w:pPr>
              <w:pStyle w:val="TableContents"/>
              <w:bidi w:val="0"/>
              <w:spacing w:before="0" w:after="283"/>
              <w:jc w:val="both"/>
              <w:rPr/>
            </w:pPr>
            <w:r>
              <w:rPr>
                <w:rFonts w:ascii="Times New Roman;Times;Serif" w:hAnsi="Times New Roman;Times;Serif"/>
                <w:sz w:val="20"/>
              </w:rPr>
              <w:t>New student enrollments</w:t>
            </w:r>
            <w:r>
              <w:rPr>
                <w:position w:val="8"/>
                <w:sz w:val="19"/>
              </w:rPr>
              <w:t>2</w:t>
            </w:r>
            <w:r>
              <w:rPr/>
              <w:t xml:space="preserve"> </w:t>
            </w:r>
            <w:r>
              <w:rPr>
                <w:rFonts w:ascii="Times New Roman;Times;Serif" w:hAnsi="Times New Roman;Times;Serif"/>
                <w:sz w:val="20"/>
              </w:rPr>
              <w:t>were 137,493, compared to 158,395 in the third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September 30, 2025, the Company’s deferred revenue balance was RMB695.5 million (US$97.7 million), compared to RMB916.5 million as of December 31, 2024.</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Net income margin is defined as net income as a percentage of 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New student enrollments for a given period refer to the total number of orders placed by students that newly enroll in at least one course during that period, including those students that enroll and then terminate their enrollment with us, excluding orders of our low-price courses, such as “mini courses” and “RMB1 courses”, which we offer in the form of recorded videos or short live streaming, to strengthen our competitiveness and improve customer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We're pleased to see that the Company has now entered a phase of steady and healthy growth. Our performance in this quarter once again underscores the resilience of our business model and the effective execution of our strategic roadmap. We delivered net revenues of RMB523.0 million, coupled with a pronounced acceleration in profitability, as net income surged 40.5% year-over-year to RMB125.4 million. These achivements further validated the durability and scalability of our operations. Our strategic pivot towards high-margin, demand-driven course categories continues to yield tangible financial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shd w:fill="FFFFFF" w:val="clear"/>
        </w:rPr>
        <w:t>Our focus extends beyond short-term financial performance to the accumulation of intrinsic capabilities. Through refined management and structural cost control, we have established strong operating leverage while maintaining consistent investment in innovation and teaching quality. We believe that healthy cash flow, organizational agility, and a learner-centered product mindset will remain the core pillars of Sunlands’ competitiveness in this new stage,</w:t>
      </w:r>
      <w:r>
        <w:rPr>
          <w:rFonts w:ascii="Times New Roman;Times;Serif" w:hAnsi="Times New Roman;Times;Serif"/>
          <w:b w:val="false"/>
          <w:i w:val="false"/>
          <w:caps w:val="false"/>
          <w:smallCaps w:val="false"/>
          <w:sz w:val="20"/>
        </w:rPr>
        <w:t>” said Mr. Tongbo Liu, Chief Executive Officer of Sunlands.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Hangyu Li, Finance Director of Sunlands, commented, “The third quarter results underscore the Company’s focus on profitable growth and operational excellence. Net revenues rose 6.5% year-over-year to RMB523.0 million, driven by strong interest-based course performance. Gross profit climbed 13.1% year-over-year to RMB462.7 million, with operating expenses down 5.5%, driving net income to RMB125.4 million. The balance sheet is robust, with ample cash and positive cash flows from operating actives, reflecting a healthy core business. The gross billings per new student enrollment for interest, professional skills and professional certification preparation courses grew 11.7% year-over-year in the quarter, reflecting steady user acquisition momentum despite a more selective marketing approach. Leveraging silver economy tailwinds and tech innovation, the company will continue creating value for users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net revenues increased by 6.5% to RMB523.0 million (US$73.5 million) from RMB491.3 million in the third quarter of 2024. The increase was primarily driven by shorter average service periods, leading to an increase in revenue recognized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26.5% to RMB60.3 million (US$8.5 million) in the third quarter of 2025 from RMB82.1 million in the third quarter of 2024. The decrease was mainly due to declined cost of revenues from sales of goods such as learning materials and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13.1% to RMB462.7 million (US$65.0 million) in the third quarter of 2025 from RMB409.2 million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third quarter of 2025, operating expenses were RMB324.4 million (US$45.6 million), representing a 5.5% decrease from RMB343.4 million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7.7% to RMB279.7 million (US$39.3 million) in the third quarter of 2025 from RMB303.0 million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4.3% to RMB36.0 million (US$5.1 million) in the third quarter of 2025 from RMB34.5 million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increased by 48.2% to RMB8.7 million (US$1.2 million) in the third quarter of 2025 from RMB5.8 million in the third quarter of 2024. The increase was mainly due to increased compensation expenses related to headcount expansion of the Company’s product development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third quarter of 2025 was RMB125.4 million (US$17.6 million), as compared to RMB89.3 million in the third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RMB18.64 (US$2.62) in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Restricted Cash and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RMB601.0 million (US$84.4 million) of cash, cash equivalents and restricted cash and RMB176.5 million (US$24.8 million) of short-term investments, as compared to RMB507.2 million of cash and cash equivalents and RMB276.0 million of short-term investments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 deferred revenue balance of RMB695.5 million (US$97.7 million), as compared to RMB916.5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2021, the Company’s board of directors authorized a share repurchase program, under which the Company may repurchase up to US$15.0 million of Class A ordinary shares in the form of ADSs over the next 24 months. On December 1, 2023, the Company’s board of directors authorized to extend its share repurchase program over the next twenty-four months. As of November 18, 2025, the Company had repurchased an aggregate of 797,615 ADSs for approximately US$4.7 million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First Nine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nine months of 2025, net revenues increased by 2.9% to RMB1,549.7 million (US$217.7 million) from RMB1,506.7 million in the first nine months of 2024. The increase was primarily driven by a 1.6% growth in gross billings from interest courses.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14.2% to RMB202.3 million (US$28.4 million) in the first nine months of 2025 from RMB235.9 million in the first nine months of 2024. The decrease was mainly due to declined cost of revenues from sales of goods such as learning materials and books, and declined compensation expenses related to headcount reduction of the Company’s teachers and mentors.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6.0% to RMB1,347.4 million (US$189.3 million) from RMB1,270.8 million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nine months of 2025, operating expenses were RMB1,008.1 million (US$141.6 million), representing a 1.5% decrease from RMB1,023.4 million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2.1% to RMB882.7 million (US$124.0 million) in the first nine months of 2025 from RMB902.1 million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2.7% to RMB103.6 million (US$14.5 million) in the first nine months of 2025 from RMB100.9 million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increased by 6.5% to RMB21.9 million (US$3.1 million) in the first nine months of 2025 from RMB20.5 million in the first nine months of 2024. The increase was mainly due to increased compensation expenses related to headcount expansion of the Company’s product development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first nine months of 2025 was RMB327.3 million (US$46.0 million), compared with RMB284.3 million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RMB48.50 (US$6.81) in the first nine months of 2025, compared with RMB41.52 in the first nine months of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fourth quarter of 2025, Sunlands currently expects net revenues to be between RMB440 million to RMB460 million, which would represent a decrease of 4.9% to 9.0% year-over-year. The above outlook is based on the current market conditions and reflects the Company’s current and preliminary estimates of market and operating conditions and customer demand, which are all subject to substantial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primarily conducted in China and all revenues are denominated in Renminbi (“RMB”). This announcement contains currency conversions of RMB amounts into U.S. dollars (“US$”) solely for the convenience of the reader. Unless otherwise noted, all translations from RMB to US$ are made at a rate of RMB7.1190 to US$1.00, the effective noon buying rate for September 30, 2025 as set forth in the H.10 statistical release of the Federal Reserve Board. No representation is made that the RMB amounts could have been, or could be, converted, realized or settled into US$ at that rate on September 30, 2025,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Sunlands’ management team will host a conference call at 7:00 AM U.S. Eastern Time, (8:00 PM Beijing/Hong Kong time) on November 20, 2025, following the quarterly results announcement.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 participants who wish to join the call, please access the link provided below to complete online registration 15 minutes prior to the scheduled call start time. Upon registration, participants will receive details for the conference call, including dial-in numbers, a personal PIN and an e-mail with detailed instructions to join the conference call.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Registration Link: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https://register-conf.media-server.com/register/BI8300e40c73ed4950972d9e8dd3b708b8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Additionally, a live webcast and archive of the conference call will be available on the Investor Relations section of Sunlands’ website at https://ir.sunlands.com/.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Sunlands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services either through PC or mobile applications.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proprietary knowledge management system. Sunlands has a deep understanding of the educational needs of its prospective students and offers solutions that help them achieve their goals.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Non-GAAP Financial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gross billings, EBITDA, </w:t>
      </w:r>
      <w:r>
        <w:rPr>
          <w:rFonts w:ascii="Times New Roman;Times;Serif" w:hAnsi="Times New Roman;Times;Serif"/>
          <w:b w:val="false"/>
          <w:i w:val="false"/>
          <w:caps w:val="false"/>
          <w:smallCaps w:val="false"/>
          <w:sz w:val="20"/>
          <w:shd w:fill="FFFFFF" w:val="clear"/>
        </w:rPr>
        <w:t>non-GAAP operating cost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expenses, non-GAAP income from operations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 xml:space="preserve">non-GAAP net income per share, </w:t>
      </w:r>
      <w:r>
        <w:rPr>
          <w:rFonts w:ascii="Times New Roman;Times;Serif" w:hAnsi="Times New Roman;Times;Serif"/>
          <w:b w:val="false"/>
          <w:i w:val="false"/>
          <w:caps w:val="false"/>
          <w:smallCaps w:val="false"/>
          <w:sz w:val="20"/>
        </w:rPr>
        <w:t>each a non-GAAP financial measure, in evaluating our operating results and for financial and operational decision-making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gross billings for a specific period as the total amount of cash received for the sale of course packages, net of the total amount of refunds paid in such period. Our management uses gross billings as a performance measurement because we generally bill our students for the entire course tuition at the time of sale of our course packages and recognize revenue proportionally over a period. EBITDA is defined as net income excluding depreciation and amortization, interest expense, interest income, and income tax expenses. We believe that gross billings and EBITDA provide valuable insight into the sales of our course packages and the performance of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non-GAAP financial measures should not be considered in isolation from, or as a substitute for, their most directly comparable financial measures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EBITDA, </w:t>
      </w:r>
      <w:r>
        <w:rPr>
          <w:rFonts w:ascii="Times New Roman;Times;Serif" w:hAnsi="Times New Roman;Times;Serif"/>
          <w:b w:val="false"/>
          <w:i w:val="false"/>
          <w:caps w:val="false"/>
          <w:smallCaps w:val="false"/>
          <w:sz w:val="20"/>
          <w:shd w:fill="FFFFFF" w:val="clear"/>
        </w:rPr>
        <w:t xml:space="preserve">operating cost and expenses excluding share-based compensation expenses, general and administrative expenses excluding share-based compensation expenses, </w:t>
      </w:r>
      <w:r>
        <w:rPr>
          <w:rFonts w:ascii="Times New Roman;Times;Serif" w:hAnsi="Times New Roman;Times;Serif"/>
          <w:b w:val="false"/>
          <w:i w:val="false"/>
          <w:caps w:val="false"/>
          <w:smallCaps w:val="false"/>
          <w:sz w:val="20"/>
        </w:rPr>
        <w:t>s</w:t>
      </w:r>
      <w:r>
        <w:rPr>
          <w:rFonts w:ascii="Times New Roman;Times;Serif" w:hAnsi="Times New Roman;Times;Serif"/>
          <w:b w:val="false"/>
          <w:i w:val="false"/>
          <w:caps w:val="false"/>
          <w:smallCaps w:val="false"/>
          <w:sz w:val="20"/>
          <w:shd w:fill="FFFFFF" w:val="clear"/>
        </w:rPr>
        <w:t xml:space="preserve">ales and marketing expenses excluding share-based compensation expenses, </w:t>
      </w:r>
      <w:r>
        <w:rPr>
          <w:rFonts w:ascii="Times New Roman;Times;Serif" w:hAnsi="Times New Roman;Times;Serif"/>
          <w:b w:val="false"/>
          <w:i w:val="false"/>
          <w:caps w:val="false"/>
          <w:smallCaps w:val="false"/>
          <w:sz w:val="20"/>
        </w:rPr>
        <w:t xml:space="preserve">product development expenses </w:t>
      </w:r>
      <w:r>
        <w:rPr>
          <w:rFonts w:ascii="Times New Roman;Times;Serif" w:hAnsi="Times New Roman;Times;Serif"/>
          <w:b w:val="false"/>
          <w:i w:val="false"/>
          <w:caps w:val="false"/>
          <w:smallCaps w:val="false"/>
          <w:sz w:val="20"/>
          <w:shd w:fill="FFFFFF" w:val="clear"/>
        </w:rPr>
        <w:t>excluding share-based compensation expenses</w:t>
      </w:r>
      <w:r>
        <w:rPr>
          <w:rFonts w:ascii="Times New Roman;Times;Serif" w:hAnsi="Times New Roman;Times;Serif"/>
          <w:b w:val="false"/>
          <w:i w:val="false"/>
          <w:caps w:val="false"/>
          <w:smallCaps w:val="false"/>
          <w:sz w:val="20"/>
        </w:rPr>
        <w:t>, income from operations excluding share-based compensation expenses</w:t>
      </w:r>
      <w:r>
        <w:rPr>
          <w:rFonts w:ascii="Times New Roman;Times;Serif" w:hAnsi="Times New Roman;Times;Serif"/>
          <w:b w:val="false"/>
          <w:i w:val="false"/>
          <w:caps w:val="false"/>
          <w:smallCaps w:val="false"/>
          <w:sz w:val="20"/>
          <w:shd w:fill="FFFFFF" w:val="clear"/>
        </w:rPr>
        <w:t>, and basic and diluted net income per share excluding share-based compensation expenses </w:t>
      </w:r>
      <w:r>
        <w:rPr>
          <w:rFonts w:ascii="Times New Roman;Times;Serif" w:hAnsi="Times New Roman;Times;Serif"/>
          <w:b w:val="false"/>
          <w:i w:val="false"/>
          <w:caps w:val="false"/>
          <w:smallCaps w:val="false"/>
          <w:sz w:val="20"/>
        </w:rPr>
        <w:t>have material limitations as an analytical metric and may not be calculated in the same manner by all companies, it may not be comparable to other similarly titled measures used by other companies. In light of the foregoing limitations, you should not consider gross billings and EBITDA as a substitute for, or superior to, their respective most directly comparable financial measures prepared in accordance with GAAP. We encourage investors and others to review our financial information in its entirety and not rely on a single financial measure.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enquiries, please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sl-ir@sunlands.com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Sunlands Technology Group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3950"/>
        <w:gridCol w:w="60"/>
        <w:gridCol w:w="1595"/>
        <w:gridCol w:w="60"/>
        <w:gridCol w:w="980"/>
        <w:gridCol w:w="60"/>
        <w:gridCol w:w="107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ind w:left="0" w:right="0" w:hanging="180"/>
              <w:jc w:val="left"/>
              <w:rPr>
                <w:sz w:val="20"/>
              </w:rPr>
            </w:pPr>
            <w:r>
              <w:rPr>
                <w:sz w:val="20"/>
              </w:rPr>
              <w:t>As of December 31,</w:t>
            </w:r>
          </w:p>
        </w:tc>
        <w:tc>
          <w:tcPr>
            <w:tcW w:w="60" w:type="dxa"/>
            <w:tcBorders/>
            <w:shd w:fill="FFFFFF" w:val="clear"/>
            <w:vAlign w:val="center"/>
          </w:tcPr>
          <w:p>
            <w:pPr>
              <w:pStyle w:val="TableContents"/>
              <w:bidi w:val="0"/>
              <w:spacing w:before="0" w:after="283"/>
              <w:ind w:left="0" w:right="0" w:hanging="180"/>
              <w:jc w:val="left"/>
              <w:rPr/>
            </w:pPr>
            <w:r>
              <w:rPr/>
              <w:t> </w:t>
            </w:r>
          </w:p>
        </w:tc>
        <w:tc>
          <w:tcPr>
            <w:tcW w:w="211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September 30,</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0" w:type="dxa"/>
            <w:tcBorders/>
            <w:shd w:fill="FFFFFF" w:val="clear"/>
            <w:vAlign w:val="center"/>
          </w:tcPr>
          <w:p>
            <w:pPr>
              <w:pStyle w:val="TableContents"/>
              <w:bidi w:val="0"/>
              <w:spacing w:before="0" w:after="283"/>
              <w:jc w:val="center"/>
              <w:rPr/>
            </w:pPr>
            <w:r>
              <w:rPr/>
              <w:t> </w:t>
            </w:r>
          </w:p>
        </w:tc>
        <w:tc>
          <w:tcPr>
            <w:tcW w:w="211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center"/>
              <w:rPr/>
            </w:pPr>
            <w:r>
              <w:rPr/>
              <w:t> </w:t>
            </w:r>
          </w:p>
        </w:tc>
        <w:tc>
          <w:tcPr>
            <w:tcW w:w="1070" w:type="dxa"/>
            <w:tcBorders/>
            <w:shd w:fill="FFFFFF" w:val="clear"/>
            <w:vAlign w:val="center"/>
          </w:tcPr>
          <w:p>
            <w:pPr>
              <w:pStyle w:val="TableContents"/>
              <w:bidi w:val="0"/>
              <w:spacing w:before="0" w:after="283"/>
              <w:jc w:val="center"/>
              <w:rPr>
                <w:sz w:val="20"/>
              </w:rPr>
            </w:pPr>
            <w:r>
              <w:rPr>
                <w:sz w:val="20"/>
              </w:rPr>
              <w:t>US$</w:t>
            </w:r>
          </w:p>
        </w:tc>
      </w:tr>
      <w:tr>
        <w:trPr/>
        <w:tc>
          <w:tcPr>
            <w:tcW w:w="3950" w:type="dxa"/>
            <w:tcBorders/>
            <w:shd w:fill="FFFFFF" w:val="clear"/>
            <w:vAlign w:val="center"/>
          </w:tcPr>
          <w:p>
            <w:pPr>
              <w:pStyle w:val="TableContents"/>
              <w:bidi w:val="0"/>
              <w:spacing w:before="0" w:after="283"/>
              <w:jc w:val="left"/>
              <w:rPr>
                <w:sz w:val="20"/>
              </w:rPr>
            </w:pPr>
            <w:r>
              <w:rPr>
                <w:sz w:val="20"/>
              </w:rPr>
              <w:t>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ind w:left="0" w:right="0" w:firstLine="180"/>
              <w:jc w:val="left"/>
              <w:rPr>
                <w:sz w:val="4"/>
                <w:szCs w:val="4"/>
              </w:rPr>
            </w:pPr>
            <w:r>
              <w:rPr>
                <w:sz w:val="4"/>
                <w:szCs w:val="4"/>
              </w:rPr>
            </w:r>
          </w:p>
        </w:tc>
      </w:tr>
      <w:tr>
        <w:trPr/>
        <w:tc>
          <w:tcPr>
            <w:tcW w:w="3950" w:type="dxa"/>
            <w:tcBorders/>
            <w:shd w:fill="D5EAEA" w:val="clear"/>
            <w:vAlign w:val="center"/>
          </w:tcPr>
          <w:p>
            <w:pPr>
              <w:pStyle w:val="TableContents"/>
              <w:bidi w:val="0"/>
              <w:spacing w:before="0" w:after="283"/>
              <w:jc w:val="left"/>
              <w:rPr>
                <w:sz w:val="20"/>
              </w:rPr>
            </w:pPr>
            <w:r>
              <w:rPr>
                <w:sz w:val="20"/>
              </w:rPr>
              <w:t>Cash and cash equivalents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507,229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 xml:space="preserve">599,917    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 xml:space="preserve">84,270   </w:t>
            </w:r>
          </w:p>
        </w:tc>
      </w:tr>
      <w:tr>
        <w:trPr/>
        <w:tc>
          <w:tcPr>
            <w:tcW w:w="395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 xml:space="preserve">1,049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 xml:space="preserve">147 </w:t>
            </w:r>
          </w:p>
        </w:tc>
      </w:tr>
      <w:tr>
        <w:trPr/>
        <w:tc>
          <w:tcPr>
            <w:tcW w:w="3950" w:type="dxa"/>
            <w:tcBorders/>
            <w:shd w:fill="D5EAEA" w:val="clear"/>
            <w:vAlign w:val="center"/>
          </w:tcPr>
          <w:p>
            <w:pPr>
              <w:pStyle w:val="TableContents"/>
              <w:bidi w:val="0"/>
              <w:spacing w:before="0" w:after="283"/>
              <w:jc w:val="left"/>
              <w:rPr>
                <w:sz w:val="20"/>
              </w:rPr>
            </w:pPr>
            <w:r>
              <w:rPr>
                <w:sz w:val="20"/>
              </w:rPr>
              <w:t>Short-term investments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276,029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176,496    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24,792    </w:t>
            </w:r>
          </w:p>
        </w:tc>
      </w:tr>
      <w:tr>
        <w:trPr/>
        <w:tc>
          <w:tcPr>
            <w:tcW w:w="3950"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96,916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 xml:space="preserve">90,871    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 xml:space="preserve">12,765   </w:t>
            </w:r>
          </w:p>
        </w:tc>
      </w:tr>
      <w:tr>
        <w:trPr/>
        <w:tc>
          <w:tcPr>
            <w:tcW w:w="3950" w:type="dxa"/>
            <w:tcBorders/>
            <w:shd w:fill="D5EAEA" w:val="clear"/>
            <w:vAlign w:val="center"/>
          </w:tcPr>
          <w:p>
            <w:pPr>
              <w:pStyle w:val="TableContents"/>
              <w:bidi w:val="0"/>
              <w:spacing w:before="0" w:after="283"/>
              <w:jc w:val="left"/>
              <w:rPr>
                <w:sz w:val="20"/>
              </w:rPr>
            </w:pPr>
            <w:r>
              <w:rPr>
                <w:sz w:val="20"/>
              </w:rPr>
              <w:t>Deferred costs, 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4,139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 xml:space="preserve">25,257  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jc w:val="right"/>
              <w:rPr>
                <w:sz w:val="20"/>
              </w:rPr>
            </w:pPr>
            <w:r>
              <w:rPr>
                <w:sz w:val="20"/>
              </w:rPr>
              <w:t>3,548    </w:t>
            </w:r>
          </w:p>
        </w:tc>
      </w:tr>
      <w:tr>
        <w:trPr/>
        <w:tc>
          <w:tcPr>
            <w:tcW w:w="395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884,313 </w:t>
            </w:r>
          </w:p>
        </w:tc>
        <w:tc>
          <w:tcPr>
            <w:tcW w:w="60" w:type="dxa"/>
            <w:tcBorders/>
            <w:shd w:fill="FFFFFF" w:val="clear"/>
            <w:vAlign w:val="center"/>
          </w:tcPr>
          <w:p>
            <w:pPr>
              <w:pStyle w:val="TableContents"/>
              <w:bidi w:val="0"/>
              <w:spacing w:before="0" w:after="283"/>
              <w:jc w:val="right"/>
              <w:rPr/>
            </w:pPr>
            <w:r>
              <w:rPr/>
              <w:t> </w:t>
            </w:r>
          </w:p>
        </w:tc>
        <w:tc>
          <w:tcPr>
            <w:tcW w:w="9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893,590     </w:t>
            </w:r>
          </w:p>
        </w:tc>
        <w:tc>
          <w:tcPr>
            <w:tcW w:w="60" w:type="dxa"/>
            <w:tcBorders/>
            <w:shd w:fill="FFFFFF" w:val="clear"/>
            <w:vAlign w:val="center"/>
          </w:tcPr>
          <w:p>
            <w:pPr>
              <w:pStyle w:val="TableContents"/>
              <w:bidi w:val="0"/>
              <w:spacing w:before="0" w:after="283"/>
              <w:jc w:val="right"/>
              <w:rPr/>
            </w:pPr>
            <w:r>
              <w:rPr/>
              <w:t> </w:t>
            </w:r>
          </w:p>
        </w:tc>
        <w:tc>
          <w:tcPr>
            <w:tcW w:w="107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125,522   </w:t>
            </w:r>
          </w:p>
        </w:tc>
      </w:tr>
      <w:tr>
        <w:trPr/>
        <w:tc>
          <w:tcPr>
            <w:tcW w:w="3950" w:type="dxa"/>
            <w:tcBorders/>
            <w:shd w:fill="D5EAEA" w:val="clear"/>
            <w:vAlign w:val="center"/>
          </w:tcPr>
          <w:p>
            <w:pPr>
              <w:pStyle w:val="TableContents"/>
              <w:bidi w:val="0"/>
              <w:spacing w:before="0" w:after="283"/>
              <w:jc w:val="left"/>
              <w:rPr>
                <w:sz w:val="20"/>
              </w:rPr>
            </w:pPr>
            <w:r>
              <w:rPr>
                <w:sz w:val="20"/>
              </w:rPr>
              <w:t>Non-current assets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758,215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737,154    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103,547    </w:t>
            </w:r>
          </w:p>
        </w:tc>
      </w:tr>
      <w:tr>
        <w:trPr/>
        <w:tc>
          <w:tcPr>
            <w:tcW w:w="3950" w:type="dxa"/>
            <w:tcBorders/>
            <w:shd w:fill="D5EAEA" w:val="clear"/>
            <w:vAlign w:val="center"/>
          </w:tcPr>
          <w:p>
            <w:pPr>
              <w:pStyle w:val="TableContents"/>
              <w:bidi w:val="0"/>
              <w:spacing w:before="0" w:after="283"/>
              <w:jc w:val="left"/>
              <w:rPr>
                <w:sz w:val="20"/>
              </w:rPr>
            </w:pPr>
            <w:r>
              <w:rPr>
                <w:sz w:val="20"/>
              </w:rPr>
              <w:t>Intangible assets, net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723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 xml:space="preserve">368  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 xml:space="preserve">52   </w:t>
            </w:r>
          </w:p>
        </w:tc>
      </w:tr>
      <w:tr>
        <w:trPr/>
        <w:tc>
          <w:tcPr>
            <w:tcW w:w="3950" w:type="dxa"/>
            <w:tcBorders/>
            <w:shd w:fill="FFFFFF" w:val="clear"/>
            <w:vAlign w:val="center"/>
          </w:tcPr>
          <w:p>
            <w:pPr>
              <w:pStyle w:val="TableContents"/>
              <w:bidi w:val="0"/>
              <w:spacing w:before="0" w:after="283"/>
              <w:jc w:val="left"/>
              <w:rPr>
                <w:sz w:val="20"/>
              </w:rPr>
            </w:pPr>
            <w:r>
              <w:rPr>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110,154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101,170    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14,211    </w:t>
            </w:r>
          </w:p>
        </w:tc>
      </w:tr>
      <w:tr>
        <w:trPr/>
        <w:tc>
          <w:tcPr>
            <w:tcW w:w="3950" w:type="dxa"/>
            <w:tcBorders/>
            <w:shd w:fill="D5EAEA" w:val="clear"/>
            <w:vAlign w:val="center"/>
          </w:tcPr>
          <w:p>
            <w:pPr>
              <w:pStyle w:val="TableContents"/>
              <w:bidi w:val="0"/>
              <w:spacing w:before="0" w:after="283"/>
              <w:jc w:val="left"/>
              <w:rPr>
                <w:sz w:val="20"/>
              </w:rPr>
            </w:pPr>
            <w:r>
              <w:rPr>
                <w:sz w:val="20"/>
              </w:rPr>
              <w:t>Deferred costs, non-current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56,657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16,212    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2,277    </w:t>
            </w:r>
          </w:p>
        </w:tc>
      </w:tr>
      <w:tr>
        <w:trPr/>
        <w:tc>
          <w:tcPr>
            <w:tcW w:w="3950" w:type="dxa"/>
            <w:tcBorders/>
            <w:shd w:fill="FFFFFF" w:val="clear"/>
            <w:vAlign w:val="center"/>
          </w:tcPr>
          <w:p>
            <w:pPr>
              <w:pStyle w:val="TableContents"/>
              <w:bidi w:val="0"/>
              <w:spacing w:before="0" w:after="283"/>
              <w:jc w:val="left"/>
              <w:rPr>
                <w:sz w:val="20"/>
              </w:rPr>
            </w:pPr>
            <w:r>
              <w:rPr>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260,083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 xml:space="preserve">332,636  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 xml:space="preserve">46,725   </w:t>
            </w:r>
          </w:p>
        </w:tc>
      </w:tr>
      <w:tr>
        <w:trPr/>
        <w:tc>
          <w:tcPr>
            <w:tcW w:w="3950" w:type="dxa"/>
            <w:tcBorders/>
            <w:shd w:fill="D5EAEA" w:val="clear"/>
            <w:vAlign w:val="center"/>
          </w:tcPr>
          <w:p>
            <w:pPr>
              <w:pStyle w:val="TableContents"/>
              <w:bidi w:val="0"/>
              <w:spacing w:before="0" w:after="283"/>
              <w:jc w:val="left"/>
              <w:rPr>
                <w:sz w:val="20"/>
              </w:rPr>
            </w:pPr>
            <w:r>
              <w:rPr>
                <w:sz w:val="20"/>
              </w:rPr>
              <w:t>Deferred tax assets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24,699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 xml:space="preserve">20,247  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 xml:space="preserve">2,844   </w:t>
            </w:r>
          </w:p>
        </w:tc>
      </w:tr>
      <w:tr>
        <w:trPr/>
        <w:tc>
          <w:tcPr>
            <w:tcW w:w="395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26,319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23,527  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right"/>
              <w:rPr>
                <w:sz w:val="20"/>
              </w:rPr>
            </w:pPr>
            <w:r>
              <w:rPr>
                <w:sz w:val="20"/>
              </w:rPr>
              <w:t xml:space="preserve">3,305   </w:t>
            </w:r>
          </w:p>
        </w:tc>
      </w:tr>
      <w:tr>
        <w:trPr/>
        <w:tc>
          <w:tcPr>
            <w:tcW w:w="3950" w:type="dxa"/>
            <w:tcBorders/>
            <w:shd w:fill="D5EAEA" w:val="clear"/>
            <w:vAlign w:val="center"/>
          </w:tcPr>
          <w:p>
            <w:pPr>
              <w:pStyle w:val="TableContents"/>
              <w:bidi w:val="0"/>
              <w:spacing w:before="0" w:after="283"/>
              <w:jc w:val="left"/>
              <w:rPr>
                <w:sz w:val="20"/>
              </w:rPr>
            </w:pPr>
            <w:r>
              <w:rPr>
                <w:sz w:val="20"/>
              </w:rPr>
              <w:t>Total non-current assets</w:t>
            </w:r>
          </w:p>
        </w:tc>
        <w:tc>
          <w:tcPr>
            <w:tcW w:w="60" w:type="dxa"/>
            <w:tcBorders/>
            <w:shd w:fill="D5EAEA"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1,236,850 </w:t>
            </w:r>
          </w:p>
        </w:tc>
        <w:tc>
          <w:tcPr>
            <w:tcW w:w="60" w:type="dxa"/>
            <w:tcBorders/>
            <w:shd w:fill="D5EAEA" w:val="clear"/>
            <w:vAlign w:val="center"/>
          </w:tcPr>
          <w:p>
            <w:pPr>
              <w:pStyle w:val="TableContents"/>
              <w:bidi w:val="0"/>
              <w:spacing w:before="0" w:after="283"/>
              <w:jc w:val="right"/>
              <w:rPr/>
            </w:pPr>
            <w:r>
              <w:rPr/>
              <w:t> </w:t>
            </w:r>
          </w:p>
        </w:tc>
        <w:tc>
          <w:tcPr>
            <w:tcW w:w="98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1,231,314   </w:t>
            </w:r>
          </w:p>
        </w:tc>
        <w:tc>
          <w:tcPr>
            <w:tcW w:w="60" w:type="dxa"/>
            <w:tcBorders/>
            <w:shd w:fill="D5EAEA" w:val="clear"/>
            <w:vAlign w:val="center"/>
          </w:tcPr>
          <w:p>
            <w:pPr>
              <w:pStyle w:val="TableContents"/>
              <w:bidi w:val="0"/>
              <w:spacing w:before="0" w:after="283"/>
              <w:jc w:val="right"/>
              <w:rPr/>
            </w:pPr>
            <w:r>
              <w:rPr/>
              <w:t> </w:t>
            </w:r>
          </w:p>
        </w:tc>
        <w:tc>
          <w:tcPr>
            <w:tcW w:w="107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172,961   </w:t>
            </w:r>
          </w:p>
        </w:tc>
      </w:tr>
      <w:tr>
        <w:trPr/>
        <w:tc>
          <w:tcPr>
            <w:tcW w:w="395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2,121,163 </w:t>
            </w:r>
          </w:p>
        </w:tc>
        <w:tc>
          <w:tcPr>
            <w:tcW w:w="60" w:type="dxa"/>
            <w:tcBorders/>
            <w:shd w:fill="FFFFFF" w:val="clear"/>
            <w:vAlign w:val="center"/>
          </w:tcPr>
          <w:p>
            <w:pPr>
              <w:pStyle w:val="TableContents"/>
              <w:bidi w:val="0"/>
              <w:spacing w:before="0" w:after="283"/>
              <w:jc w:val="righ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2,124,904   </w:t>
            </w:r>
          </w:p>
        </w:tc>
        <w:tc>
          <w:tcPr>
            <w:tcW w:w="60" w:type="dxa"/>
            <w:tcBorders/>
            <w:shd w:fill="FFFFFF" w:val="clear"/>
            <w:vAlign w:val="center"/>
          </w:tcPr>
          <w:p>
            <w:pPr>
              <w:pStyle w:val="TableContents"/>
              <w:bidi w:val="0"/>
              <w:spacing w:before="0" w:after="283"/>
              <w:jc w:val="right"/>
              <w:rPr/>
            </w:pPr>
            <w:r>
              <w:rPr/>
              <w:t> </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298,483  </w:t>
            </w:r>
          </w:p>
        </w:tc>
      </w:tr>
      <w:tr>
        <w:trPr/>
        <w:tc>
          <w:tcPr>
            <w:tcW w:w="39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right"/>
              <w:rPr/>
            </w:pPr>
            <w:r>
              <w:rPr/>
              <w:t> </w:t>
            </w:r>
          </w:p>
        </w:tc>
      </w:tr>
      <w:tr>
        <w:trPr/>
        <w:tc>
          <w:tcPr>
            <w:tcW w:w="39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jc w:val="right"/>
              <w:rPr/>
            </w:pPr>
            <w:r>
              <w:rPr/>
              <w:t> </w:t>
            </w:r>
          </w:p>
        </w:tc>
      </w:tr>
      <w:tr>
        <w:trPr/>
        <w:tc>
          <w:tcPr>
            <w:tcW w:w="3950" w:type="dxa"/>
            <w:tcBorders/>
            <w:shd w:fill="D5EAEA" w:val="clear"/>
            <w:vAlign w:val="center"/>
          </w:tcPr>
          <w:p>
            <w:pPr>
              <w:pStyle w:val="TableContents"/>
              <w:bidi w:val="0"/>
              <w:spacing w:before="0" w:after="283"/>
              <w:jc w:val="left"/>
              <w:rPr>
                <w:sz w:val="20"/>
              </w:rPr>
            </w:pPr>
            <w:r>
              <w:rPr>
                <w:sz w:val="20"/>
              </w:rPr>
              <w:t>Current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404,865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366,480    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51,479  </w:t>
            </w:r>
          </w:p>
        </w:tc>
      </w:tr>
      <w:tr>
        <w:trPr/>
        <w:tc>
          <w:tcPr>
            <w:tcW w:w="3950" w:type="dxa"/>
            <w:tcBorders/>
            <w:shd w:fill="D5EAEA" w:val="clear"/>
            <w:vAlign w:val="center"/>
          </w:tcPr>
          <w:p>
            <w:pPr>
              <w:pStyle w:val="TableContents"/>
              <w:bidi w:val="0"/>
              <w:spacing w:before="0" w:after="283"/>
              <w:ind w:left="0" w:right="0" w:firstLine="180"/>
              <w:jc w:val="left"/>
              <w:rPr>
                <w:sz w:val="20"/>
              </w:rPr>
            </w:pPr>
            <w:r>
              <w:rPr>
                <w:sz w:val="20"/>
              </w:rPr>
              <w:t>Deferred revenue, 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382,047 </w:t>
            </w:r>
          </w:p>
        </w:tc>
        <w:tc>
          <w:tcPr>
            <w:tcW w:w="60" w:type="dxa"/>
            <w:tcBorders/>
            <w:shd w:fill="D5EAEA" w:val="clear"/>
            <w:vAlign w:val="center"/>
          </w:tcPr>
          <w:p>
            <w:pPr>
              <w:pStyle w:val="TableContents"/>
              <w:bidi w:val="0"/>
              <w:spacing w:before="0" w:after="283"/>
              <w:jc w:val="right"/>
              <w:rPr/>
            </w:pPr>
            <w:r>
              <w:rPr/>
              <w:t> </w:t>
            </w:r>
          </w:p>
        </w:tc>
        <w:tc>
          <w:tcPr>
            <w:tcW w:w="980" w:type="dxa"/>
            <w:tcBorders/>
            <w:shd w:fill="D5EAEA" w:val="clear"/>
            <w:vAlign w:val="center"/>
          </w:tcPr>
          <w:p>
            <w:pPr>
              <w:pStyle w:val="TableContents"/>
              <w:bidi w:val="0"/>
              <w:spacing w:before="0" w:after="283"/>
              <w:jc w:val="right"/>
              <w:rPr>
                <w:sz w:val="20"/>
              </w:rPr>
            </w:pPr>
            <w:r>
              <w:rPr>
                <w:sz w:val="20"/>
              </w:rPr>
              <w:t xml:space="preserve">453,889   </w:t>
            </w:r>
          </w:p>
        </w:tc>
        <w:tc>
          <w:tcPr>
            <w:tcW w:w="60" w:type="dxa"/>
            <w:tcBorders/>
            <w:shd w:fill="D5EAEA" w:val="clear"/>
            <w:vAlign w:val="center"/>
          </w:tcPr>
          <w:p>
            <w:pPr>
              <w:pStyle w:val="TableContents"/>
              <w:bidi w:val="0"/>
              <w:spacing w:before="0" w:after="283"/>
              <w:jc w:val="right"/>
              <w:rPr/>
            </w:pPr>
            <w:r>
              <w:rPr/>
              <w:t> </w:t>
            </w:r>
          </w:p>
        </w:tc>
        <w:tc>
          <w:tcPr>
            <w:tcW w:w="1070" w:type="dxa"/>
            <w:tcBorders/>
            <w:shd w:fill="D5EAEA" w:val="clear"/>
            <w:vAlign w:val="center"/>
          </w:tcPr>
          <w:p>
            <w:pPr>
              <w:pStyle w:val="TableContents"/>
              <w:bidi w:val="0"/>
              <w:spacing w:before="0" w:after="283"/>
              <w:ind w:left="0" w:right="0" w:firstLine="180"/>
              <w:jc w:val="right"/>
              <w:rPr>
                <w:sz w:val="20"/>
              </w:rPr>
            </w:pPr>
            <w:r>
              <w:rPr>
                <w:sz w:val="20"/>
              </w:rPr>
              <w:t xml:space="preserve">63,757   </w:t>
            </w:r>
          </w:p>
        </w:tc>
      </w:tr>
      <w:tr>
        <w:trPr/>
        <w:tc>
          <w:tcPr>
            <w:tcW w:w="3950" w:type="dxa"/>
            <w:tcBorders/>
            <w:shd w:fill="FFFFFF" w:val="clear"/>
            <w:vAlign w:val="center"/>
          </w:tcPr>
          <w:p>
            <w:pPr>
              <w:pStyle w:val="TableContents"/>
              <w:bidi w:val="0"/>
              <w:spacing w:before="0" w:after="283"/>
              <w:jc w:val="left"/>
              <w:rPr>
                <w:sz w:val="20"/>
              </w:rPr>
            </w:pPr>
            <w:r>
              <w:rPr>
                <w:sz w:val="20"/>
              </w:rPr>
              <w:t>Lease liabilities, current portion</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8,317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sz w:val="20"/>
              </w:rPr>
            </w:pPr>
            <w:r>
              <w:rPr>
                <w:sz w:val="20"/>
              </w:rPr>
              <w:t xml:space="preserve">9,534   </w:t>
            </w:r>
          </w:p>
        </w:tc>
        <w:tc>
          <w:tcPr>
            <w:tcW w:w="60" w:type="dxa"/>
            <w:tcBorders/>
            <w:shd w:fill="FFFFFF" w:val="clear"/>
            <w:vAlign w:val="center"/>
          </w:tcPr>
          <w:p>
            <w:pPr>
              <w:pStyle w:val="TableContents"/>
              <w:bidi w:val="0"/>
              <w:spacing w:before="0" w:after="283"/>
              <w:jc w:val="right"/>
              <w:rPr/>
            </w:pPr>
            <w:r>
              <w:rPr/>
              <w:t> </w:t>
            </w:r>
          </w:p>
        </w:tc>
        <w:tc>
          <w:tcPr>
            <w:tcW w:w="1070" w:type="dxa"/>
            <w:tcBorders/>
            <w:shd w:fill="FFFFFF" w:val="clear"/>
            <w:vAlign w:val="center"/>
          </w:tcPr>
          <w:p>
            <w:pPr>
              <w:pStyle w:val="TableContents"/>
              <w:bidi w:val="0"/>
              <w:spacing w:before="0" w:after="283"/>
              <w:ind w:left="0" w:right="0" w:firstLine="180"/>
              <w:jc w:val="right"/>
              <w:rPr>
                <w:sz w:val="20"/>
              </w:rPr>
            </w:pPr>
            <w:r>
              <w:rPr>
                <w:sz w:val="20"/>
              </w:rPr>
              <w:t xml:space="preserve">1,339   </w:t>
            </w:r>
          </w:p>
        </w:tc>
      </w:tr>
      <w:tr>
        <w:trPr/>
        <w:tc>
          <w:tcPr>
            <w:tcW w:w="3950" w:type="dxa"/>
            <w:tcBorders/>
            <w:shd w:fill="D5EAEA" w:val="clear"/>
            <w:vAlign w:val="center"/>
          </w:tcPr>
          <w:p>
            <w:pPr>
              <w:pStyle w:val="TableContents"/>
              <w:bidi w:val="0"/>
              <w:spacing w:before="0" w:after="283"/>
              <w:jc w:val="left"/>
              <w:rPr>
                <w:sz w:val="20"/>
              </w:rPr>
            </w:pPr>
            <w:r>
              <w:rPr>
                <w:sz w:val="20"/>
              </w:rPr>
              <w:t>Long-term debt, current portion</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xml:space="preserve">6,154 </w:t>
            </w:r>
          </w:p>
        </w:tc>
        <w:tc>
          <w:tcPr>
            <w:tcW w:w="60" w:type="dxa"/>
            <w:tcBorders/>
            <w:shd w:fill="D5EAEA" w:val="clear"/>
            <w:vAlign w:val="center"/>
          </w:tcPr>
          <w:p>
            <w:pPr>
              <w:pStyle w:val="TableContents"/>
              <w:bidi w:val="0"/>
              <w:spacing w:before="0" w:after="283"/>
              <w:jc w:val="righ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60" w:type="dxa"/>
            <w:tcBorders/>
            <w:shd w:fill="D5EAEA" w:val="clear"/>
            <w:vAlign w:val="center"/>
          </w:tcPr>
          <w:p>
            <w:pPr>
              <w:pStyle w:val="TableContents"/>
              <w:bidi w:val="0"/>
              <w:spacing w:before="0" w:after="283"/>
              <w:jc w:val="right"/>
              <w:rPr/>
            </w:pPr>
            <w:r>
              <w:rPr/>
              <w:t> </w:t>
            </w:r>
          </w:p>
        </w:tc>
        <w:tc>
          <w:tcPr>
            <w:tcW w:w="107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r>
      <w:tr>
        <w:trPr/>
        <w:tc>
          <w:tcPr>
            <w:tcW w:w="395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801,383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829,903   </w:t>
            </w:r>
          </w:p>
        </w:tc>
        <w:tc>
          <w:tcPr>
            <w:tcW w:w="60" w:type="dxa"/>
            <w:tcBorders/>
            <w:shd w:fill="FFFFFF" w:val="clear"/>
            <w:vAlign w:val="center"/>
          </w:tcPr>
          <w:p>
            <w:pPr>
              <w:pStyle w:val="TableContents"/>
              <w:bidi w:val="0"/>
              <w:spacing w:before="0" w:after="283"/>
              <w:jc w:val="right"/>
              <w:rPr/>
            </w:pPr>
            <w:r>
              <w:rPr/>
              <w:t> </w:t>
            </w:r>
          </w:p>
        </w:tc>
        <w:tc>
          <w:tcPr>
            <w:tcW w:w="10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116,575    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SHEETS-continued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80"/>
        <w:gridCol w:w="60"/>
        <w:gridCol w:w="1595"/>
        <w:gridCol w:w="60"/>
        <w:gridCol w:w="1025"/>
        <w:gridCol w:w="60"/>
        <w:gridCol w:w="1025"/>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December 31,</w:t>
            </w:r>
          </w:p>
        </w:tc>
        <w:tc>
          <w:tcPr>
            <w:tcW w:w="60" w:type="dxa"/>
            <w:tcBorders/>
            <w:shd w:fill="FFFFFF" w:val="clear"/>
            <w:vAlign w:val="center"/>
          </w:tcPr>
          <w:p>
            <w:pPr>
              <w:pStyle w:val="TableContents"/>
              <w:bidi w:val="0"/>
              <w:spacing w:before="0" w:after="283"/>
              <w:ind w:left="0" w:right="0" w:hanging="180"/>
              <w:jc w:val="center"/>
              <w:rPr/>
            </w:pPr>
            <w:r>
              <w:rPr/>
              <w:t> </w:t>
            </w:r>
          </w:p>
        </w:tc>
        <w:tc>
          <w:tcPr>
            <w:tcW w:w="211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September 30,</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0" w:type="dxa"/>
            <w:tcBorders/>
            <w:shd w:fill="FFFFFF" w:val="clear"/>
            <w:vAlign w:val="center"/>
          </w:tcPr>
          <w:p>
            <w:pPr>
              <w:pStyle w:val="TableContents"/>
              <w:bidi w:val="0"/>
              <w:spacing w:before="0" w:after="283"/>
              <w:jc w:val="center"/>
              <w:rPr/>
            </w:pPr>
            <w:r>
              <w:rPr/>
              <w:t> </w:t>
            </w:r>
          </w:p>
        </w:tc>
        <w:tc>
          <w:tcPr>
            <w:tcW w:w="211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center"/>
              <w:rPr/>
            </w:pPr>
            <w:r>
              <w:rPr/>
              <w:t> </w:t>
            </w:r>
          </w:p>
        </w:tc>
        <w:tc>
          <w:tcPr>
            <w:tcW w:w="1025" w:type="dxa"/>
            <w:tcBorders/>
            <w:shd w:fill="FFFFFF" w:val="clear"/>
            <w:vAlign w:val="center"/>
          </w:tcPr>
          <w:p>
            <w:pPr>
              <w:pStyle w:val="TableContents"/>
              <w:bidi w:val="0"/>
              <w:spacing w:before="0" w:after="283"/>
              <w:jc w:val="center"/>
              <w:rPr>
                <w:sz w:val="20"/>
              </w:rPr>
            </w:pPr>
            <w:r>
              <w:rPr>
                <w:sz w:val="20"/>
              </w:rPr>
              <w:t>RMB</w:t>
            </w:r>
          </w:p>
        </w:tc>
        <w:tc>
          <w:tcPr>
            <w:tcW w:w="60"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1025" w:type="dxa"/>
            <w:tcBorders>
              <w:top w:val="single" w:sz="8" w:space="0" w:color="000000"/>
            </w:tcBorders>
            <w:shd w:fill="FFFFFF" w:val="clear"/>
            <w:tcMar>
              <w:top w:w="28" w:type="dxa"/>
            </w:tcMar>
            <w:vAlign w:val="center"/>
          </w:tcPr>
          <w:p>
            <w:pPr>
              <w:pStyle w:val="TableContents"/>
              <w:bidi w:val="0"/>
              <w:spacing w:before="0" w:after="283"/>
              <w:jc w:val="center"/>
              <w:rPr>
                <w:sz w:val="20"/>
              </w:rPr>
            </w:pPr>
            <w:r>
              <w:rPr>
                <w:sz w:val="20"/>
              </w:rPr>
              <w:t>US$</w:t>
            </w:r>
          </w:p>
        </w:tc>
      </w:tr>
      <w:tr>
        <w:trPr/>
        <w:tc>
          <w:tcPr>
            <w:tcW w:w="6380" w:type="dxa"/>
            <w:tcBorders/>
            <w:shd w:fill="FFFFFF" w:val="clear"/>
            <w:vAlign w:val="center"/>
          </w:tcPr>
          <w:p>
            <w:pPr>
              <w:pStyle w:val="TableContents"/>
              <w:bidi w:val="0"/>
              <w:spacing w:before="0" w:after="283"/>
              <w:jc w:val="left"/>
              <w:rPr>
                <w:sz w:val="20"/>
              </w:rPr>
            </w:pPr>
            <w:r>
              <w:rPr>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Deferred revenue, non-current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534,463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 xml:space="preserve">241,570  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 xml:space="preserve">33,933   </w:t>
            </w:r>
          </w:p>
        </w:tc>
      </w:tr>
      <w:tr>
        <w:trPr/>
        <w:tc>
          <w:tcPr>
            <w:tcW w:w="6380" w:type="dxa"/>
            <w:tcBorders/>
            <w:shd w:fill="FFFFFF" w:val="clear"/>
            <w:vAlign w:val="center"/>
          </w:tcPr>
          <w:p>
            <w:pPr>
              <w:pStyle w:val="TableContents"/>
              <w:bidi w:val="0"/>
              <w:spacing w:before="0" w:after="283"/>
              <w:jc w:val="left"/>
              <w:rPr>
                <w:sz w:val="20"/>
              </w:rPr>
            </w:pPr>
            <w:r>
              <w:rPr>
                <w:sz w:val="20"/>
              </w:rPr>
              <w:t>Lease liabilities, non-current portion</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137,040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 xml:space="preserve">127,435  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sz w:val="20"/>
              </w:rPr>
            </w:pPr>
            <w:r>
              <w:rPr>
                <w:sz w:val="20"/>
              </w:rPr>
              <w:t>17,901  </w:t>
            </w:r>
          </w:p>
        </w:tc>
      </w:tr>
      <w:tr>
        <w:trPr/>
        <w:tc>
          <w:tcPr>
            <w:tcW w:w="6380" w:type="dxa"/>
            <w:tcBorders/>
            <w:shd w:fill="D5EAEA" w:val="clear"/>
            <w:vAlign w:val="center"/>
          </w:tcPr>
          <w:p>
            <w:pPr>
              <w:pStyle w:val="TableContents"/>
              <w:bidi w:val="0"/>
              <w:spacing w:before="0" w:after="283"/>
              <w:jc w:val="left"/>
              <w:rPr>
                <w:sz w:val="20"/>
              </w:rPr>
            </w:pPr>
            <w:r>
              <w:rPr>
                <w:sz w:val="20"/>
              </w:rPr>
              <w:t>Deferred tax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5,724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3,418  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 xml:space="preserve">480   </w:t>
            </w:r>
          </w:p>
        </w:tc>
      </w:tr>
      <w:tr>
        <w:trPr/>
        <w:tc>
          <w:tcPr>
            <w:tcW w:w="6380" w:type="dxa"/>
            <w:tcBorders/>
            <w:shd w:fill="FFFFFF" w:val="clear"/>
            <w:vAlign w:val="center"/>
          </w:tcPr>
          <w:p>
            <w:pPr>
              <w:pStyle w:val="TableContents"/>
              <w:bidi w:val="0"/>
              <w:spacing w:before="0" w:after="283"/>
              <w:jc w:val="left"/>
              <w:rPr>
                <w:sz w:val="20"/>
              </w:rPr>
            </w:pPr>
            <w:r>
              <w:rPr>
                <w:sz w:val="20"/>
              </w:rPr>
              <w:t xml:space="preserve">Other non-current liabilities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7,309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 xml:space="preserve">7,289  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sz w:val="20"/>
              </w:rPr>
            </w:pPr>
            <w:r>
              <w:rPr>
                <w:sz w:val="20"/>
              </w:rPr>
              <w:t xml:space="preserve">1,024   </w:t>
            </w:r>
          </w:p>
        </w:tc>
      </w:tr>
      <w:tr>
        <w:trPr/>
        <w:tc>
          <w:tcPr>
            <w:tcW w:w="6380" w:type="dxa"/>
            <w:tcBorders/>
            <w:shd w:fill="D5EAEA" w:val="clear"/>
            <w:vAlign w:val="center"/>
          </w:tcPr>
          <w:p>
            <w:pPr>
              <w:pStyle w:val="TableContents"/>
              <w:bidi w:val="0"/>
              <w:spacing w:before="0" w:after="283"/>
              <w:jc w:val="left"/>
              <w:rPr>
                <w:sz w:val="20"/>
              </w:rPr>
            </w:pPr>
            <w:r>
              <w:rPr>
                <w:sz w:val="20"/>
              </w:rPr>
              <w:t>Long-term debt, non-current portion</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35,386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w:t>
            </w:r>
          </w:p>
        </w:tc>
      </w:tr>
      <w:tr>
        <w:trPr/>
        <w:tc>
          <w:tcPr>
            <w:tcW w:w="6380"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719,922 </w:t>
            </w:r>
          </w:p>
        </w:tc>
        <w:tc>
          <w:tcPr>
            <w:tcW w:w="60" w:type="dxa"/>
            <w:tcBorders/>
            <w:shd w:fill="FFFFFF" w:val="clear"/>
            <w:vAlign w:val="center"/>
          </w:tcPr>
          <w:p>
            <w:pPr>
              <w:pStyle w:val="TableContents"/>
              <w:bidi w:val="0"/>
              <w:spacing w:before="0" w:after="283"/>
              <w:jc w:val="right"/>
              <w:rPr/>
            </w:pPr>
            <w:r>
              <w:rPr/>
              <w:t> </w:t>
            </w:r>
          </w:p>
        </w:tc>
        <w:tc>
          <w:tcPr>
            <w:tcW w:w="10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379,712   </w:t>
            </w:r>
          </w:p>
        </w:tc>
        <w:tc>
          <w:tcPr>
            <w:tcW w:w="60" w:type="dxa"/>
            <w:tcBorders/>
            <w:shd w:fill="FFFFFF" w:val="clear"/>
            <w:vAlign w:val="center"/>
          </w:tcPr>
          <w:p>
            <w:pPr>
              <w:pStyle w:val="TableContents"/>
              <w:bidi w:val="0"/>
              <w:spacing w:before="0" w:after="283"/>
              <w:jc w:val="right"/>
              <w:rPr/>
            </w:pPr>
            <w:r>
              <w:rPr/>
              <w:t> </w:t>
            </w:r>
          </w:p>
        </w:tc>
        <w:tc>
          <w:tcPr>
            <w:tcW w:w="10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53,338   </w:t>
            </w:r>
          </w:p>
        </w:tc>
      </w:tr>
      <w:tr>
        <w:trPr/>
        <w:tc>
          <w:tcPr>
            <w:tcW w:w="6380" w:type="dxa"/>
            <w:tcBorders/>
            <w:shd w:fill="D5EAEA" w:val="clear"/>
            <w:vAlign w:val="center"/>
          </w:tcPr>
          <w:p>
            <w:pPr>
              <w:pStyle w:val="TableContents"/>
              <w:bidi w:val="0"/>
              <w:spacing w:before="0" w:after="283"/>
              <w:jc w:val="left"/>
              <w:rPr>
                <w:sz w:val="20"/>
              </w:rPr>
            </w:pPr>
            <w:r>
              <w:rPr>
                <w:sz w:val="20"/>
              </w:rPr>
              <w:t>TOTAL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1,521,305</w:t>
            </w:r>
          </w:p>
        </w:tc>
        <w:tc>
          <w:tcPr>
            <w:tcW w:w="60" w:type="dxa"/>
            <w:tcBorders/>
            <w:shd w:fill="D5EAEA" w:val="clear"/>
            <w:vAlign w:val="center"/>
          </w:tcPr>
          <w:p>
            <w:pPr>
              <w:pStyle w:val="TableContents"/>
              <w:bidi w:val="0"/>
              <w:spacing w:before="0" w:after="283"/>
              <w:jc w:val="right"/>
              <w:rPr/>
            </w:pPr>
            <w:r>
              <w:rPr/>
              <w:t> </w:t>
            </w:r>
          </w:p>
        </w:tc>
        <w:tc>
          <w:tcPr>
            <w:tcW w:w="102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1,209,615    </w:t>
            </w:r>
          </w:p>
        </w:tc>
        <w:tc>
          <w:tcPr>
            <w:tcW w:w="60" w:type="dxa"/>
            <w:tcBorders/>
            <w:shd w:fill="D5EAEA" w:val="clear"/>
            <w:vAlign w:val="center"/>
          </w:tcPr>
          <w:p>
            <w:pPr>
              <w:pStyle w:val="TableContents"/>
              <w:bidi w:val="0"/>
              <w:spacing w:before="0" w:after="283"/>
              <w:jc w:val="right"/>
              <w:rPr/>
            </w:pPr>
            <w:r>
              <w:rPr/>
              <w:t> </w:t>
            </w:r>
          </w:p>
        </w:tc>
        <w:tc>
          <w:tcPr>
            <w:tcW w:w="102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169,913    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Class A ordinary shares (par value of US$0.00005, 796,062,195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360"/>
              <w:jc w:val="righ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authorized; 3,131,807 and 3,131,807 shares issued as of December 31, 2024</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360"/>
              <w:jc w:val="right"/>
              <w:rPr/>
            </w:pPr>
            <w:r>
              <w:rPr/>
              <w:t> </w:t>
            </w:r>
          </w:p>
        </w:tc>
      </w:tr>
      <w:tr>
        <w:trPr/>
        <w:tc>
          <w:tcPr>
            <w:tcW w:w="6380" w:type="dxa"/>
            <w:tcBorders/>
            <w:shd w:fill="FFFFFF" w:val="clear"/>
            <w:vAlign w:val="center"/>
          </w:tcPr>
          <w:p>
            <w:pPr>
              <w:pStyle w:val="TableContents"/>
              <w:bidi w:val="0"/>
              <w:spacing w:before="0" w:after="283"/>
              <w:ind w:left="0" w:right="0" w:firstLine="180"/>
              <w:jc w:val="left"/>
              <w:rPr>
                <w:sz w:val="20"/>
              </w:rPr>
            </w:pPr>
            <w:r>
              <w:rPr>
                <w:sz w:val="20"/>
              </w:rPr>
              <w:t>And September 30, 2025, respectively; 2,600,779 and 2,554,347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360"/>
              <w:jc w:val="right"/>
              <w:rPr/>
            </w:pPr>
            <w:r>
              <w:rPr/>
              <w:t> </w:t>
            </w:r>
          </w:p>
        </w:tc>
      </w:tr>
      <w:tr>
        <w:trPr/>
        <w:tc>
          <w:tcPr>
            <w:tcW w:w="6380" w:type="dxa"/>
            <w:tcBorders/>
            <w:shd w:fill="D5EAEA" w:val="clear"/>
            <w:vAlign w:val="center"/>
          </w:tcPr>
          <w:p>
            <w:pPr>
              <w:pStyle w:val="TableContents"/>
              <w:bidi w:val="0"/>
              <w:spacing w:before="0" w:after="283"/>
              <w:ind w:left="0" w:right="0" w:firstLine="180"/>
              <w:jc w:val="left"/>
              <w:rPr>
                <w:sz w:val="20"/>
              </w:rPr>
            </w:pPr>
            <w:r>
              <w:rPr>
                <w:sz w:val="20"/>
              </w:rPr>
              <w:t>outstanding as of December 31, 2024 and September 30, 2025, respectively)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1</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1</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w:t>
            </w:r>
          </w:p>
        </w:tc>
      </w:tr>
      <w:tr>
        <w:trPr/>
        <w:tc>
          <w:tcPr>
            <w:tcW w:w="6380" w:type="dxa"/>
            <w:tcBorders/>
            <w:shd w:fill="FFFFFF" w:val="clear"/>
            <w:vAlign w:val="center"/>
          </w:tcPr>
          <w:p>
            <w:pPr>
              <w:pStyle w:val="TableContents"/>
              <w:bidi w:val="0"/>
              <w:spacing w:before="0" w:after="283"/>
              <w:jc w:val="left"/>
              <w:rPr>
                <w:sz w:val="20"/>
              </w:rPr>
            </w:pPr>
            <w:r>
              <w:rPr>
                <w:sz w:val="20"/>
              </w:rPr>
              <w:t>Class B ordinary shares (par value of US$0.00005, 826,389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360"/>
              <w:jc w:val="righ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authorized; 826,389 and 826,389 shares issued and outstanding</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360"/>
              <w:jc w:val="righ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as of December 31, 2024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sz w:val="20"/>
              </w:rPr>
            </w:pPr>
            <w:r>
              <w:rPr>
                <w:sz w:val="20"/>
              </w:rPr>
              <w:t>-</w:t>
            </w:r>
          </w:p>
        </w:tc>
      </w:tr>
      <w:tr>
        <w:trPr/>
        <w:tc>
          <w:tcPr>
            <w:tcW w:w="6380" w:type="dxa"/>
            <w:tcBorders/>
            <w:shd w:fill="D5EAEA" w:val="clear"/>
            <w:vAlign w:val="center"/>
          </w:tcPr>
          <w:p>
            <w:pPr>
              <w:pStyle w:val="TableContents"/>
              <w:bidi w:val="0"/>
              <w:spacing w:before="0" w:after="283"/>
              <w:jc w:val="left"/>
              <w:rPr>
                <w:sz w:val="20"/>
              </w:rPr>
            </w:pPr>
            <w:r>
              <w:rPr>
                <w:sz w:val="20"/>
              </w:rPr>
              <w:t>Class C ordinary shares (par value of US$0.00005, 203,111,416 shares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360"/>
              <w:jc w:val="righ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authorized; 3,332,062 and 3,332,062 shares issued and outstanding</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360"/>
              <w:jc w:val="righ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as of December 31, 2024 and September 30, 2025, respectively)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1</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1</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w:t>
            </w:r>
          </w:p>
        </w:tc>
      </w:tr>
      <w:tr>
        <w:trPr/>
        <w:tc>
          <w:tcPr>
            <w:tcW w:w="6380" w:type="dxa"/>
            <w:tcBorders/>
            <w:shd w:fill="FFFFFF" w:val="clear"/>
            <w:vAlign w:val="center"/>
          </w:tcPr>
          <w:p>
            <w:pPr>
              <w:pStyle w:val="TableContents"/>
              <w:bidi w:val="0"/>
              <w:spacing w:before="0" w:after="283"/>
              <w:jc w:val="left"/>
              <w:rPr>
                <w:sz w:val="20"/>
              </w:rPr>
            </w:pPr>
            <w:r>
              <w:rPr>
                <w:sz w:val="20"/>
              </w:rPr>
              <w:t>Treasury stock</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sz w:val="20"/>
              </w:rPr>
            </w:pPr>
            <w:r>
              <w:rPr>
                <w:sz w:val="20"/>
              </w:rPr>
              <w:t>-</w:t>
            </w:r>
          </w:p>
        </w:tc>
      </w:tr>
      <w:tr>
        <w:trPr/>
        <w:tc>
          <w:tcPr>
            <w:tcW w:w="6380" w:type="dxa"/>
            <w:tcBorders/>
            <w:shd w:fill="D5EAEA" w:val="clear"/>
            <w:vAlign w:val="center"/>
          </w:tcPr>
          <w:p>
            <w:pPr>
              <w:pStyle w:val="TableContents"/>
              <w:bidi w:val="0"/>
              <w:spacing w:before="0" w:after="283"/>
              <w:jc w:val="left"/>
              <w:rPr>
                <w:sz w:val="20"/>
              </w:rPr>
            </w:pPr>
            <w:r>
              <w:rPr>
                <w:sz w:val="20"/>
              </w:rPr>
              <w:t xml:space="preserve">Statutory reserves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11,083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 xml:space="preserve">11,083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 xml:space="preserve">1,557 </w:t>
            </w:r>
          </w:p>
        </w:tc>
      </w:tr>
      <w:tr>
        <w:trPr/>
        <w:tc>
          <w:tcPr>
            <w:tcW w:w="6380"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(1,840,285)</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(1,513,028)</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ind w:left="0" w:right="0" w:firstLine="180"/>
              <w:jc w:val="right"/>
              <w:rPr>
                <w:sz w:val="20"/>
              </w:rPr>
            </w:pPr>
            <w:r>
              <w:rPr>
                <w:sz w:val="20"/>
              </w:rPr>
              <w:t>(212,534)</w:t>
            </w:r>
          </w:p>
        </w:tc>
      </w:tr>
      <w:tr>
        <w:trPr/>
        <w:tc>
          <w:tcPr>
            <w:tcW w:w="6380" w:type="dxa"/>
            <w:tcBorders/>
            <w:shd w:fill="D5EAEA" w:val="clear"/>
            <w:vAlign w:val="center"/>
          </w:tcPr>
          <w:p>
            <w:pPr>
              <w:pStyle w:val="TableContents"/>
              <w:bidi w:val="0"/>
              <w:spacing w:before="0" w:after="283"/>
              <w:jc w:val="left"/>
              <w:rPr>
                <w:sz w:val="20"/>
              </w:rPr>
            </w:pPr>
            <w:r>
              <w:rPr>
                <w:sz w:val="20"/>
              </w:rPr>
              <w:t>Additional paid-in capital</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2,294,381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jc w:val="right"/>
              <w:rPr>
                <w:sz w:val="20"/>
              </w:rPr>
            </w:pPr>
            <w:r>
              <w:rPr>
                <w:sz w:val="20"/>
              </w:rPr>
              <w:t xml:space="preserve">2,289,063   </w:t>
            </w:r>
          </w:p>
        </w:tc>
        <w:tc>
          <w:tcPr>
            <w:tcW w:w="60" w:type="dxa"/>
            <w:tcBorders/>
            <w:shd w:fill="D5EAEA" w:val="clear"/>
            <w:vAlign w:val="center"/>
          </w:tcPr>
          <w:p>
            <w:pPr>
              <w:pStyle w:val="TableContents"/>
              <w:bidi w:val="0"/>
              <w:spacing w:before="0" w:after="283"/>
              <w:jc w:val="right"/>
              <w:rPr/>
            </w:pPr>
            <w:r>
              <w:rPr/>
              <w:t> </w:t>
            </w:r>
          </w:p>
        </w:tc>
        <w:tc>
          <w:tcPr>
            <w:tcW w:w="1025" w:type="dxa"/>
            <w:tcBorders/>
            <w:shd w:fill="D5EAEA" w:val="clear"/>
            <w:vAlign w:val="center"/>
          </w:tcPr>
          <w:p>
            <w:pPr>
              <w:pStyle w:val="TableContents"/>
              <w:bidi w:val="0"/>
              <w:spacing w:before="0" w:after="283"/>
              <w:ind w:left="0" w:right="0" w:firstLine="180"/>
              <w:jc w:val="right"/>
              <w:rPr>
                <w:sz w:val="20"/>
              </w:rPr>
            </w:pPr>
            <w:r>
              <w:rPr>
                <w:sz w:val="20"/>
              </w:rPr>
              <w:t xml:space="preserve">321,543   </w:t>
            </w:r>
          </w:p>
        </w:tc>
      </w:tr>
      <w:tr>
        <w:trPr/>
        <w:tc>
          <w:tcPr>
            <w:tcW w:w="6380" w:type="dxa"/>
            <w:tcBorders/>
            <w:shd w:fill="FFFFFF" w:val="clear"/>
            <w:vAlign w:val="center"/>
          </w:tcPr>
          <w:p>
            <w:pPr>
              <w:pStyle w:val="TableContents"/>
              <w:bidi w:val="0"/>
              <w:spacing w:before="0" w:after="283"/>
              <w:jc w:val="left"/>
              <w:rPr>
                <w:sz w:val="20"/>
              </w:rPr>
            </w:pPr>
            <w:r>
              <w:rPr>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136,164 </w:t>
            </w:r>
          </w:p>
        </w:tc>
        <w:tc>
          <w:tcPr>
            <w:tcW w:w="60" w:type="dxa"/>
            <w:tcBorders/>
            <w:shd w:fill="FFFFFF" w:val="clear"/>
            <w:vAlign w:val="center"/>
          </w:tcPr>
          <w:p>
            <w:pPr>
              <w:pStyle w:val="TableContents"/>
              <w:bidi w:val="0"/>
              <w:spacing w:before="0" w:after="283"/>
              <w:jc w:val="righ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129,656   </w:t>
            </w:r>
          </w:p>
        </w:tc>
        <w:tc>
          <w:tcPr>
            <w:tcW w:w="60" w:type="dxa"/>
            <w:tcBorders/>
            <w:shd w:fill="FFFFFF" w:val="clear"/>
            <w:vAlign w:val="center"/>
          </w:tcPr>
          <w:p>
            <w:pPr>
              <w:pStyle w:val="TableContents"/>
              <w:bidi w:val="0"/>
              <w:spacing w:before="0" w:after="283"/>
              <w:jc w:val="right"/>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18,213   </w:t>
            </w:r>
          </w:p>
        </w:tc>
      </w:tr>
      <w:tr>
        <w:trPr/>
        <w:tc>
          <w:tcPr>
            <w:tcW w:w="6380" w:type="dxa"/>
            <w:tcBorders/>
            <w:shd w:fill="D5EAEA" w:val="clear"/>
            <w:vAlign w:val="center"/>
          </w:tcPr>
          <w:p>
            <w:pPr>
              <w:pStyle w:val="TableContents"/>
              <w:bidi w:val="0"/>
              <w:spacing w:before="0" w:after="283"/>
              <w:jc w:val="left"/>
              <w:rPr>
                <w:sz w:val="20"/>
              </w:rPr>
            </w:pPr>
            <w:r>
              <w:rPr>
                <w:sz w:val="20"/>
              </w:rPr>
              <w:t>Total Sunlands Technology Group 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xml:space="preserve">601,345 </w:t>
            </w:r>
          </w:p>
        </w:tc>
        <w:tc>
          <w:tcPr>
            <w:tcW w:w="60" w:type="dxa"/>
            <w:tcBorders/>
            <w:shd w:fill="D5EAEA" w:val="clear"/>
            <w:vAlign w:val="center"/>
          </w:tcPr>
          <w:p>
            <w:pPr>
              <w:pStyle w:val="TableContents"/>
              <w:bidi w:val="0"/>
              <w:spacing w:before="0" w:after="283"/>
              <w:jc w:val="right"/>
              <w:rPr/>
            </w:pPr>
            <w:r>
              <w:rPr/>
              <w:t> </w:t>
            </w:r>
          </w:p>
        </w:tc>
        <w:tc>
          <w:tcPr>
            <w:tcW w:w="102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916,776  </w:t>
            </w:r>
          </w:p>
        </w:tc>
        <w:tc>
          <w:tcPr>
            <w:tcW w:w="60" w:type="dxa"/>
            <w:tcBorders/>
            <w:shd w:fill="D5EAEA" w:val="clear"/>
            <w:vAlign w:val="center"/>
          </w:tcPr>
          <w:p>
            <w:pPr>
              <w:pStyle w:val="TableContents"/>
              <w:bidi w:val="0"/>
              <w:spacing w:before="0" w:after="283"/>
              <w:jc w:val="right"/>
              <w:rPr/>
            </w:pPr>
            <w:r>
              <w:rPr/>
              <w:t> </w:t>
            </w:r>
          </w:p>
        </w:tc>
        <w:tc>
          <w:tcPr>
            <w:tcW w:w="102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xml:space="preserve">128,779   </w:t>
            </w:r>
          </w:p>
        </w:tc>
      </w:tr>
      <w:tr>
        <w:trPr/>
        <w:tc>
          <w:tcPr>
            <w:tcW w:w="6380"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(1,487)</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(1,487)</w:t>
            </w:r>
          </w:p>
        </w:tc>
        <w:tc>
          <w:tcPr>
            <w:tcW w:w="60" w:type="dxa"/>
            <w:tcBorders/>
            <w:shd w:fill="FFFFFF" w:val="clear"/>
            <w:vAlign w:val="center"/>
          </w:tcPr>
          <w:p>
            <w:pPr>
              <w:pStyle w:val="TableContents"/>
              <w:bidi w:val="0"/>
              <w:spacing w:before="0" w:after="283"/>
              <w:jc w:val="right"/>
              <w:rPr/>
            </w:pPr>
            <w:r>
              <w:rPr/>
              <w:t> </w:t>
            </w:r>
          </w:p>
        </w:tc>
        <w:tc>
          <w:tcPr>
            <w:tcW w:w="1025" w:type="dxa"/>
            <w:tcBorders/>
            <w:shd w:fill="FFFFFF" w:val="clear"/>
            <w:vAlign w:val="center"/>
          </w:tcPr>
          <w:p>
            <w:pPr>
              <w:pStyle w:val="TableContents"/>
              <w:bidi w:val="0"/>
              <w:spacing w:before="0" w:after="283"/>
              <w:jc w:val="right"/>
              <w:rPr>
                <w:sz w:val="20"/>
              </w:rPr>
            </w:pPr>
            <w:r>
              <w:rPr>
                <w:sz w:val="20"/>
              </w:rPr>
              <w:t>(209)</w:t>
            </w:r>
          </w:p>
        </w:tc>
      </w:tr>
      <w:tr>
        <w:trPr/>
        <w:tc>
          <w:tcPr>
            <w:tcW w:w="6380" w:type="dxa"/>
            <w:tcBorders/>
            <w:shd w:fill="D5EAEA" w:val="clear"/>
            <w:vAlign w:val="center"/>
          </w:tcPr>
          <w:p>
            <w:pPr>
              <w:pStyle w:val="TableContents"/>
              <w:bidi w:val="0"/>
              <w:spacing w:before="0" w:after="283"/>
              <w:jc w:val="left"/>
              <w:rPr>
                <w:sz w:val="20"/>
              </w:rPr>
            </w:pPr>
            <w:r>
              <w:rPr>
                <w:sz w:val="20"/>
              </w:rPr>
              <w:t>TOTAL 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599,858 </w:t>
            </w:r>
          </w:p>
        </w:tc>
        <w:tc>
          <w:tcPr>
            <w:tcW w:w="60" w:type="dxa"/>
            <w:tcBorders/>
            <w:shd w:fill="D5EAEA" w:val="clear"/>
            <w:vAlign w:val="center"/>
          </w:tcPr>
          <w:p>
            <w:pPr>
              <w:pStyle w:val="TableContents"/>
              <w:bidi w:val="0"/>
              <w:spacing w:before="0" w:after="283"/>
              <w:jc w:val="right"/>
              <w:rPr/>
            </w:pPr>
            <w:r>
              <w:rPr/>
              <w:t> </w:t>
            </w:r>
          </w:p>
        </w:tc>
        <w:tc>
          <w:tcPr>
            <w:tcW w:w="102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915,289   </w:t>
            </w:r>
          </w:p>
        </w:tc>
        <w:tc>
          <w:tcPr>
            <w:tcW w:w="60" w:type="dxa"/>
            <w:tcBorders/>
            <w:shd w:fill="D5EAEA" w:val="clear"/>
            <w:vAlign w:val="center"/>
          </w:tcPr>
          <w:p>
            <w:pPr>
              <w:pStyle w:val="TableContents"/>
              <w:bidi w:val="0"/>
              <w:spacing w:before="0" w:after="283"/>
              <w:jc w:val="right"/>
              <w:rPr/>
            </w:pPr>
            <w:r>
              <w:rPr/>
              <w:t> </w:t>
            </w:r>
          </w:p>
        </w:tc>
        <w:tc>
          <w:tcPr>
            <w:tcW w:w="102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128,570   </w:t>
            </w:r>
          </w:p>
        </w:tc>
      </w:tr>
      <w:tr>
        <w:trPr/>
        <w:tc>
          <w:tcPr>
            <w:tcW w:w="6380" w:type="dxa"/>
            <w:tcBorders/>
            <w:shd w:fill="FFFF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2,121,163 </w:t>
            </w:r>
          </w:p>
        </w:tc>
        <w:tc>
          <w:tcPr>
            <w:tcW w:w="60" w:type="dxa"/>
            <w:tcBorders/>
            <w:shd w:fill="FFFFFF" w:val="clear"/>
            <w:vAlign w:val="center"/>
          </w:tcPr>
          <w:p>
            <w:pPr>
              <w:pStyle w:val="TableContents"/>
              <w:bidi w:val="0"/>
              <w:spacing w:before="0" w:after="283"/>
              <w:jc w:val="right"/>
              <w:rPr/>
            </w:pPr>
            <w:r>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2,124,904  </w:t>
            </w:r>
          </w:p>
        </w:tc>
        <w:tc>
          <w:tcPr>
            <w:tcW w:w="60" w:type="dxa"/>
            <w:tcBorders/>
            <w:shd w:fill="FFFFFF" w:val="clear"/>
            <w:vAlign w:val="center"/>
          </w:tcPr>
          <w:p>
            <w:pPr>
              <w:pStyle w:val="TableContents"/>
              <w:bidi w:val="0"/>
              <w:spacing w:before="0" w:after="283"/>
              <w:jc w:val="right"/>
              <w:rPr/>
            </w:pPr>
            <w:r>
              <w:rPr/>
              <w:t> </w:t>
            </w:r>
          </w:p>
        </w:tc>
        <w:tc>
          <w:tcPr>
            <w:tcW w:w="10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298,483  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557" w:type="dxa"/>
        <w:jc w:val="left"/>
        <w:tblInd w:w="0" w:type="dxa"/>
        <w:tblLayout w:type="fixed"/>
        <w:tblCellMar>
          <w:top w:w="0" w:type="dxa"/>
          <w:left w:w="0" w:type="dxa"/>
          <w:bottom w:w="0" w:type="dxa"/>
          <w:right w:w="0" w:type="dxa"/>
        </w:tblCellMar>
      </w:tblPr>
      <w:tblGrid>
        <w:gridCol w:w="4940"/>
        <w:gridCol w:w="60"/>
        <w:gridCol w:w="1098"/>
        <w:gridCol w:w="70"/>
        <w:gridCol w:w="1186"/>
        <w:gridCol w:w="70"/>
        <w:gridCol w:w="1133"/>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7"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September 30,</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70" w:type="dxa"/>
            <w:tcBorders/>
            <w:shd w:fill="FFFFFF" w:val="clear"/>
            <w:vAlign w:val="center"/>
          </w:tcPr>
          <w:p>
            <w:pPr>
              <w:pStyle w:val="TableContents"/>
              <w:bidi w:val="0"/>
              <w:spacing w:before="0" w:after="283"/>
              <w:jc w:val="center"/>
              <w:rPr/>
            </w:pPr>
            <w:r>
              <w:rPr/>
              <w:t> </w:t>
            </w:r>
          </w:p>
        </w:tc>
        <w:tc>
          <w:tcPr>
            <w:tcW w:w="2389"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center"/>
              <w:rPr>
                <w:sz w:val="20"/>
              </w:rPr>
            </w:pPr>
            <w:r>
              <w:rPr>
                <w:sz w:val="20"/>
              </w:rPr>
              <w:t>RMB</w:t>
            </w:r>
          </w:p>
        </w:tc>
        <w:tc>
          <w:tcPr>
            <w:tcW w:w="70"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sz w:val="20"/>
              </w:rPr>
            </w:pPr>
            <w:r>
              <w:rPr>
                <w:sz w:val="20"/>
              </w:rPr>
              <w:t>RMB</w:t>
            </w:r>
          </w:p>
        </w:tc>
        <w:tc>
          <w:tcPr>
            <w:tcW w:w="70" w:type="dxa"/>
            <w:tcBorders/>
            <w:shd w:fill="FFFFFF" w:val="clear"/>
            <w:vAlign w:val="center"/>
          </w:tcPr>
          <w:p>
            <w:pPr>
              <w:pStyle w:val="TableContents"/>
              <w:bidi w:val="0"/>
              <w:spacing w:before="0" w:after="283"/>
              <w:jc w:val="center"/>
              <w:rPr/>
            </w:pPr>
            <w:r>
              <w:rPr/>
              <w:t> </w:t>
            </w:r>
          </w:p>
        </w:tc>
        <w:tc>
          <w:tcPr>
            <w:tcW w:w="1133" w:type="dxa"/>
            <w:tcBorders/>
            <w:shd w:fill="FFFFFF" w:val="clear"/>
            <w:vAlign w:val="center"/>
          </w:tcPr>
          <w:p>
            <w:pPr>
              <w:pStyle w:val="TableContents"/>
              <w:bidi w:val="0"/>
              <w:spacing w:before="0" w:after="283"/>
              <w:jc w:val="center"/>
              <w:rPr>
                <w:sz w:val="20"/>
              </w:rPr>
            </w:pPr>
            <w:r>
              <w:rPr>
                <w:sz w:val="20"/>
              </w:rPr>
              <w:t>US$</w:t>
            </w:r>
          </w:p>
        </w:tc>
      </w:tr>
      <w:tr>
        <w:trPr/>
        <w:tc>
          <w:tcPr>
            <w:tcW w:w="4940"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r>
              <w:rPr>
                <w:sz w:val="20"/>
              </w:rPr>
              <w:t>491,264  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xml:space="preserve">   </w:t>
            </w:r>
            <w:r>
              <w:rPr>
                <w:sz w:val="20"/>
              </w:rPr>
              <w:t xml:space="preserve">523,049  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pPr>
            <w:r>
              <w:rPr/>
              <w:t>  </w:t>
            </w:r>
            <w:r>
              <w:rPr>
                <w:sz w:val="20"/>
              </w:rPr>
              <w:t>73,472  </w:t>
            </w:r>
          </w:p>
        </w:tc>
      </w:tr>
      <w:tr>
        <w:trPr/>
        <w:tc>
          <w:tcPr>
            <w:tcW w:w="4940" w:type="dxa"/>
            <w:tcBorders/>
            <w:shd w:fill="FFFFFF" w:val="clear"/>
            <w:vAlign w:val="center"/>
          </w:tcPr>
          <w:p>
            <w:pPr>
              <w:pStyle w:val="TableContents"/>
              <w:bidi w:val="0"/>
              <w:spacing w:before="0" w:after="283"/>
              <w:jc w:val="left"/>
              <w:rPr>
                <w:sz w:val="20"/>
              </w:rPr>
            </w:pPr>
            <w:r>
              <w:rPr>
                <w:sz w:val="20"/>
              </w:rPr>
              <w:t xml:space="preserve">Cost of revenues </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(82,093)</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r>
              <w:rPr>
                <w:sz w:val="20"/>
              </w:rPr>
              <w:t>(60,314)</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r>
              <w:rPr>
                <w:sz w:val="20"/>
              </w:rPr>
              <w:t>(8,472)</w:t>
            </w:r>
          </w:p>
        </w:tc>
      </w:tr>
      <w:tr>
        <w:trPr/>
        <w:tc>
          <w:tcPr>
            <w:tcW w:w="4940" w:type="dxa"/>
            <w:tcBorders/>
            <w:shd w:fill="D5EAEA" w:val="clear"/>
            <w:vAlign w:val="center"/>
          </w:tcPr>
          <w:p>
            <w:pPr>
              <w:pStyle w:val="TableContents"/>
              <w:bidi w:val="0"/>
              <w:spacing w:before="0" w:after="283"/>
              <w:jc w:val="left"/>
              <w:rPr>
                <w:sz w:val="20"/>
              </w:rPr>
            </w:pPr>
            <w:r>
              <w:rPr>
                <w:sz w:val="20"/>
              </w:rPr>
              <w:t>Gross profit</w:t>
            </w:r>
          </w:p>
        </w:tc>
        <w:tc>
          <w:tcPr>
            <w:tcW w:w="60" w:type="dxa"/>
            <w:tcBorders/>
            <w:shd w:fill="D5EAEA" w:val="clear"/>
            <w:vAlign w:val="center"/>
          </w:tcPr>
          <w:p>
            <w:pPr>
              <w:pStyle w:val="TableContents"/>
              <w:bidi w:val="0"/>
              <w:spacing w:before="0" w:after="283"/>
              <w:jc w:val="left"/>
              <w:rPr/>
            </w:pPr>
            <w:r>
              <w:rPr/>
              <w:t> </w:t>
            </w:r>
          </w:p>
        </w:tc>
        <w:tc>
          <w:tcPr>
            <w:tcW w:w="1098"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409,171  </w:t>
            </w:r>
          </w:p>
        </w:tc>
        <w:tc>
          <w:tcPr>
            <w:tcW w:w="70" w:type="dxa"/>
            <w:tcBorders/>
            <w:shd w:fill="D5EAEA" w:val="cle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462,735  </w:t>
            </w:r>
          </w:p>
        </w:tc>
        <w:tc>
          <w:tcPr>
            <w:tcW w:w="70" w:type="dxa"/>
            <w:tcBorders/>
            <w:shd w:fill="D5EAEA" w:val="clear"/>
            <w:vAlign w:val="center"/>
          </w:tcPr>
          <w:p>
            <w:pPr>
              <w:pStyle w:val="TableContents"/>
              <w:bidi w:val="0"/>
              <w:spacing w:before="0" w:after="283"/>
              <w:jc w:val="right"/>
              <w:rPr/>
            </w:pPr>
            <w:r>
              <w:rPr/>
              <w:t> </w:t>
            </w:r>
          </w:p>
        </w:tc>
        <w:tc>
          <w:tcPr>
            <w:tcW w:w="113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65,000  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Operating expenses</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(303,047)</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r>
              <w:rPr>
                <w:sz w:val="20"/>
              </w:rPr>
              <w:t>(279,725)</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ind w:left="0" w:right="0" w:firstLine="180"/>
              <w:jc w:val="right"/>
              <w:rPr/>
            </w:pPr>
            <w:r>
              <w:rPr/>
              <w:t> </w:t>
            </w:r>
            <w:r>
              <w:rPr>
                <w:sz w:val="20"/>
              </w:rPr>
              <w:t>(39,293)</w:t>
            </w:r>
          </w:p>
        </w:tc>
      </w:tr>
      <w:tr>
        <w:trPr/>
        <w:tc>
          <w:tcPr>
            <w:tcW w:w="4940" w:type="dxa"/>
            <w:tcBorders/>
            <w:shd w:fill="D5EAEA" w:val="clear"/>
            <w:vAlign w:val="center"/>
          </w:tcPr>
          <w:p>
            <w:pPr>
              <w:pStyle w:val="TableContents"/>
              <w:bidi w:val="0"/>
              <w:spacing w:before="0" w:after="283"/>
              <w:jc w:val="left"/>
              <w:rPr>
                <w:sz w:val="20"/>
              </w:rPr>
            </w:pPr>
            <w:r>
              <w:rPr>
                <w:sz w:val="20"/>
              </w:rPr>
              <w:t>Product development expenses</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r>
              <w:rPr>
                <w:sz w:val="20"/>
              </w:rPr>
              <w:t>(5,849)</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r>
              <w:rPr>
                <w:sz w:val="20"/>
              </w:rPr>
              <w:t>(8,671)</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ind w:left="0" w:right="0" w:firstLine="180"/>
              <w:jc w:val="right"/>
              <w:rPr/>
            </w:pPr>
            <w:r>
              <w:rPr/>
              <w:t> </w:t>
            </w:r>
            <w:r>
              <w:rPr>
                <w:sz w:val="20"/>
              </w:rPr>
              <w:t>(1,218)</w:t>
            </w:r>
          </w:p>
        </w:tc>
      </w:tr>
      <w:tr>
        <w:trPr/>
        <w:tc>
          <w:tcPr>
            <w:tcW w:w="494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(34,472)</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r>
              <w:rPr>
                <w:sz w:val="20"/>
              </w:rPr>
              <w:t>(35,956)</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r>
              <w:rPr>
                <w:sz w:val="20"/>
              </w:rPr>
              <w:t>(5,051)</w:t>
            </w:r>
          </w:p>
        </w:tc>
      </w:tr>
      <w:tr>
        <w:trPr/>
        <w:tc>
          <w:tcPr>
            <w:tcW w:w="4940" w:type="dxa"/>
            <w:tcBorders/>
            <w:shd w:fill="D5EAEA" w:val="clear"/>
            <w:vAlign w:val="center"/>
          </w:tcPr>
          <w:p>
            <w:pPr>
              <w:pStyle w:val="TableContents"/>
              <w:bidi w:val="0"/>
              <w:spacing w:before="0" w:after="283"/>
              <w:jc w:val="left"/>
              <w:rPr>
                <w:sz w:val="20"/>
              </w:rPr>
            </w:pPr>
            <w:r>
              <w:rPr>
                <w:sz w:val="20"/>
              </w:rPr>
              <w:t>Total operating expenses</w:t>
            </w:r>
          </w:p>
        </w:tc>
        <w:tc>
          <w:tcPr>
            <w:tcW w:w="60" w:type="dxa"/>
            <w:tcBorders/>
            <w:shd w:fill="D5EAEA" w:val="clear"/>
            <w:vAlign w:val="center"/>
          </w:tcPr>
          <w:p>
            <w:pPr>
              <w:pStyle w:val="TableContents"/>
              <w:bidi w:val="0"/>
              <w:spacing w:before="0" w:after="283"/>
              <w:jc w:val="left"/>
              <w:rPr/>
            </w:pPr>
            <w:r>
              <w:rPr/>
              <w:t> </w:t>
            </w:r>
          </w:p>
        </w:tc>
        <w:tc>
          <w:tcPr>
            <w:tcW w:w="1098"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(343,368)</w:t>
            </w:r>
          </w:p>
        </w:tc>
        <w:tc>
          <w:tcPr>
            <w:tcW w:w="70" w:type="dxa"/>
            <w:tcBorders/>
            <w:shd w:fill="D5EAEA" w:val="cle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(324,352)</w:t>
            </w:r>
          </w:p>
        </w:tc>
        <w:tc>
          <w:tcPr>
            <w:tcW w:w="70" w:type="dxa"/>
            <w:tcBorders/>
            <w:shd w:fill="D5EAEA" w:val="clear"/>
            <w:vAlign w:val="center"/>
          </w:tcPr>
          <w:p>
            <w:pPr>
              <w:pStyle w:val="TableContents"/>
              <w:bidi w:val="0"/>
              <w:spacing w:before="0" w:after="283"/>
              <w:jc w:val="right"/>
              <w:rPr/>
            </w:pPr>
            <w:r>
              <w:rPr/>
              <w:t> </w:t>
            </w:r>
          </w:p>
        </w:tc>
        <w:tc>
          <w:tcPr>
            <w:tcW w:w="113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(45,562)</w:t>
            </w:r>
          </w:p>
        </w:tc>
      </w:tr>
      <w:tr>
        <w:trPr/>
        <w:tc>
          <w:tcPr>
            <w:tcW w:w="4940"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65,803  </w:t>
            </w:r>
          </w:p>
        </w:tc>
        <w:tc>
          <w:tcPr>
            <w:tcW w:w="70" w:type="dxa"/>
            <w:tcBorders/>
            <w:shd w:fill="FFFFFF" w:val="clear"/>
            <w:vAlign w:val="center"/>
          </w:tcPr>
          <w:p>
            <w:pPr>
              <w:pStyle w:val="TableContents"/>
              <w:bidi w:val="0"/>
              <w:spacing w:before="0" w:after="283"/>
              <w:jc w:val="righ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138,383  </w:t>
            </w:r>
          </w:p>
        </w:tc>
        <w:tc>
          <w:tcPr>
            <w:tcW w:w="70" w:type="dxa"/>
            <w:tcBorders/>
            <w:shd w:fill="FFFFFF" w:val="clear"/>
            <w:vAlign w:val="center"/>
          </w:tcPr>
          <w:p>
            <w:pPr>
              <w:pStyle w:val="TableContents"/>
              <w:bidi w:val="0"/>
              <w:spacing w:before="0" w:after="283"/>
              <w:jc w:val="righ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 xml:space="preserve">19,438 </w:t>
            </w:r>
          </w:p>
        </w:tc>
      </w:tr>
      <w:tr>
        <w:trPr/>
        <w:tc>
          <w:tcPr>
            <w:tcW w:w="4940" w:type="dxa"/>
            <w:tcBorders/>
            <w:shd w:fill="D5EAEA" w:val="clear"/>
            <w:vAlign w:val="center"/>
          </w:tcPr>
          <w:p>
            <w:pPr>
              <w:pStyle w:val="TableContents"/>
              <w:bidi w:val="0"/>
              <w:spacing w:before="0" w:after="283"/>
              <w:jc w:val="left"/>
              <w:rPr>
                <w:sz w:val="20"/>
              </w:rPr>
            </w:pPr>
            <w:r>
              <w:rPr>
                <w:sz w:val="20"/>
              </w:rPr>
              <w:t>Interest income</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r>
              <w:rPr>
                <w:sz w:val="20"/>
              </w:rPr>
              <w:t>7,810  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r>
              <w:rPr>
                <w:sz w:val="20"/>
              </w:rPr>
              <w:t>6,462  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pPr>
            <w:r>
              <w:rPr/>
              <w:t> </w:t>
            </w:r>
            <w:r>
              <w:rPr>
                <w:sz w:val="20"/>
              </w:rPr>
              <w:t>908  </w:t>
            </w:r>
          </w:p>
        </w:tc>
      </w:tr>
      <w:tr>
        <w:trPr/>
        <w:tc>
          <w:tcPr>
            <w:tcW w:w="494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(1,415)</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r>
              <w:rPr>
                <w:sz w:val="20"/>
              </w:rPr>
              <w:t>(114)</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r>
              <w:rPr>
                <w:sz w:val="20"/>
              </w:rPr>
              <w:t>(16)</w:t>
            </w:r>
          </w:p>
        </w:tc>
      </w:tr>
      <w:tr>
        <w:trPr/>
        <w:tc>
          <w:tcPr>
            <w:tcW w:w="4940" w:type="dxa"/>
            <w:tcBorders/>
            <w:shd w:fill="D5EAEA" w:val="clear"/>
            <w:vAlign w:val="center"/>
          </w:tcPr>
          <w:p>
            <w:pPr>
              <w:pStyle w:val="TableContents"/>
              <w:bidi w:val="0"/>
              <w:spacing w:before="0" w:after="283"/>
              <w:jc w:val="left"/>
              <w:rPr>
                <w:sz w:val="20"/>
              </w:rPr>
            </w:pPr>
            <w:r>
              <w:rPr>
                <w:sz w:val="20"/>
              </w:rPr>
              <w:t>Other income, net</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r>
              <w:rPr>
                <w:sz w:val="20"/>
              </w:rPr>
              <w:t>10,443  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r>
              <w:rPr>
                <w:sz w:val="20"/>
              </w:rPr>
              <w:t>8,323  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pPr>
            <w:r>
              <w:rPr/>
              <w:t> </w:t>
            </w:r>
            <w:r>
              <w:rPr>
                <w:sz w:val="20"/>
              </w:rPr>
              <w:t>1,169  </w:t>
            </w:r>
          </w:p>
        </w:tc>
      </w:tr>
      <w:tr>
        <w:trPr/>
        <w:tc>
          <w:tcPr>
            <w:tcW w:w="4940" w:type="dxa"/>
            <w:tcBorders/>
            <w:shd w:fill="FFFFFF" w:val="clear"/>
            <w:vAlign w:val="center"/>
          </w:tcPr>
          <w:p>
            <w:pPr>
              <w:pStyle w:val="TableContents"/>
              <w:bidi w:val="0"/>
              <w:spacing w:before="0" w:after="283"/>
              <w:jc w:val="left"/>
              <w:rPr>
                <w:sz w:val="20"/>
              </w:rPr>
            </w:pPr>
            <w:r>
              <w:rPr>
                <w:sz w:val="20"/>
              </w:rPr>
              <w:t>Loss on disposal of subsidiaries</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(588)</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sz w:val="20"/>
              </w:rPr>
            </w:pPr>
            <w:r>
              <w:rPr>
                <w:sz w:val="20"/>
              </w:rPr>
              <w:t>-</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sz w:val="20"/>
              </w:rPr>
            </w:pPr>
            <w:r>
              <w:rPr>
                <w:sz w:val="20"/>
              </w:rPr>
              <w:t>-</w:t>
            </w:r>
          </w:p>
        </w:tc>
      </w:tr>
      <w:tr>
        <w:trPr/>
        <w:tc>
          <w:tcPr>
            <w:tcW w:w="4940" w:type="dxa"/>
            <w:tcBorders/>
            <w:shd w:fill="D5EAEA"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benefit/(expenses)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D5EAEA" w:val="clear"/>
            <w:vAlign w:val="center"/>
          </w:tcPr>
          <w:p>
            <w:pPr>
              <w:pStyle w:val="TableContents"/>
              <w:bidi w:val="0"/>
              <w:spacing w:before="0" w:after="283"/>
              <w:jc w:val="left"/>
              <w:rPr/>
            </w:pPr>
            <w:r>
              <w:rPr/>
              <w:t> </w:t>
            </w:r>
          </w:p>
        </w:tc>
        <w:tc>
          <w:tcPr>
            <w:tcW w:w="1098"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86"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33" w:type="dxa"/>
            <w:tcBorders>
              <w:top w:val="single" w:sz="8" w:space="0" w:color="000000"/>
            </w:tcBorders>
            <w:shd w:fill="D5EAEA" w:val="clear"/>
            <w:tcMar>
              <w:top w:w="28" w:type="dxa"/>
            </w:tcM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and income/loss from equity method investments</w:t>
            </w:r>
          </w:p>
        </w:tc>
        <w:tc>
          <w:tcPr>
            <w:tcW w:w="60" w:type="dxa"/>
            <w:tcBorders/>
            <w:shd w:fill="FFFFFF" w:val="cle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82,053  </w:t>
            </w:r>
          </w:p>
        </w:tc>
        <w:tc>
          <w:tcPr>
            <w:tcW w:w="70" w:type="dxa"/>
            <w:tcBorders/>
            <w:shd w:fill="FFFFFF" w:val="clear"/>
            <w:vAlign w:val="center"/>
          </w:tcPr>
          <w:p>
            <w:pPr>
              <w:pStyle w:val="TableContents"/>
              <w:bidi w:val="0"/>
              <w:spacing w:before="0" w:after="283"/>
              <w:jc w:val="righ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153,054  </w:t>
            </w:r>
          </w:p>
        </w:tc>
        <w:tc>
          <w:tcPr>
            <w:tcW w:w="70" w:type="dxa"/>
            <w:tcBorders/>
            <w:shd w:fill="FFFFFF" w:val="clear"/>
            <w:vAlign w:val="center"/>
          </w:tcPr>
          <w:p>
            <w:pPr>
              <w:pStyle w:val="TableContents"/>
              <w:bidi w:val="0"/>
              <w:spacing w:before="0" w:after="283"/>
              <w:jc w:val="righ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21,499  </w:t>
            </w:r>
          </w:p>
        </w:tc>
      </w:tr>
      <w:tr>
        <w:trPr/>
        <w:tc>
          <w:tcPr>
            <w:tcW w:w="4940" w:type="dxa"/>
            <w:tcBorders/>
            <w:shd w:fill="D5EAEA" w:val="clear"/>
            <w:vAlign w:val="center"/>
          </w:tcPr>
          <w:p>
            <w:pPr>
              <w:pStyle w:val="TableContents"/>
              <w:bidi w:val="0"/>
              <w:spacing w:before="0" w:after="283"/>
              <w:jc w:val="left"/>
              <w:rPr>
                <w:sz w:val="20"/>
              </w:rPr>
            </w:pPr>
            <w:r>
              <w:rPr>
                <w:sz w:val="20"/>
              </w:rPr>
              <w:t>Income tax benefit/(expenses)</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r>
              <w:rPr>
                <w:sz w:val="20"/>
              </w:rPr>
              <w:t>6,506  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r>
              <w:rPr>
                <w:sz w:val="20"/>
              </w:rPr>
              <w:t>(24,360)</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pPr>
            <w:r>
              <w:rPr/>
              <w:t> </w:t>
            </w:r>
            <w:r>
              <w:rPr>
                <w:sz w:val="20"/>
              </w:rPr>
              <w:t>(3,422)</w:t>
            </w:r>
          </w:p>
        </w:tc>
      </w:tr>
      <w:tr>
        <w:trPr/>
        <w:tc>
          <w:tcPr>
            <w:tcW w:w="4940" w:type="dxa"/>
            <w:tcBorders/>
            <w:shd w:fill="FFFFFF" w:val="clear"/>
            <w:vAlign w:val="center"/>
          </w:tcPr>
          <w:p>
            <w:pPr>
              <w:pStyle w:val="TableContents"/>
              <w:bidi w:val="0"/>
              <w:spacing w:before="0" w:after="283"/>
              <w:jc w:val="left"/>
              <w:rPr>
                <w:sz w:val="20"/>
              </w:rPr>
            </w:pPr>
            <w:r>
              <w:rPr>
                <w:sz w:val="20"/>
              </w:rPr>
              <w:t>Income/(loss) from equity method investments</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r>
              <w:rPr>
                <w:sz w:val="20"/>
              </w:rPr>
              <w:t>730  </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r>
              <w:rPr>
                <w:sz w:val="20"/>
              </w:rPr>
              <w:t>(3,258)</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r>
              <w:rPr>
                <w:sz w:val="20"/>
              </w:rPr>
              <w:t>(458)</w:t>
            </w:r>
          </w:p>
        </w:tc>
      </w:tr>
      <w:tr>
        <w:trPr/>
        <w:tc>
          <w:tcPr>
            <w:tcW w:w="49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098"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89,289  </w:t>
            </w:r>
          </w:p>
        </w:tc>
        <w:tc>
          <w:tcPr>
            <w:tcW w:w="70" w:type="dxa"/>
            <w:tcBorders/>
            <w:shd w:fill="D5EAEA" w:val="clear"/>
            <w:vAlign w:val="center"/>
          </w:tcPr>
          <w:p>
            <w:pPr>
              <w:pStyle w:val="TableContents"/>
              <w:bidi w:val="0"/>
              <w:spacing w:before="0" w:after="283"/>
              <w:jc w:val="right"/>
              <w:rPr/>
            </w:pPr>
            <w:r>
              <w:rPr/>
              <w:t> </w:t>
            </w:r>
          </w:p>
        </w:tc>
        <w:tc>
          <w:tcPr>
            <w:tcW w:w="1186"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125,436  </w:t>
            </w:r>
          </w:p>
        </w:tc>
        <w:tc>
          <w:tcPr>
            <w:tcW w:w="70" w:type="dxa"/>
            <w:tcBorders/>
            <w:shd w:fill="D5EAEA" w:val="clear"/>
            <w:vAlign w:val="center"/>
          </w:tcPr>
          <w:p>
            <w:pPr>
              <w:pStyle w:val="TableContents"/>
              <w:bidi w:val="0"/>
              <w:spacing w:before="0" w:after="283"/>
              <w:jc w:val="right"/>
              <w:rPr/>
            </w:pPr>
            <w:r>
              <w:rPr/>
              <w:t> </w:t>
            </w:r>
          </w:p>
        </w:tc>
        <w:tc>
          <w:tcPr>
            <w:tcW w:w="1133"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17,619  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Less: Net loss attributable to non-controlling interest</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sz w:val="20"/>
              </w:rPr>
            </w:pPr>
            <w:r>
              <w:rPr>
                <w:sz w:val="20"/>
              </w:rPr>
              <w:t>-</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sz w:val="20"/>
              </w:rPr>
            </w:pPr>
            <w:r>
              <w:rPr>
                <w:sz w:val="20"/>
              </w:rPr>
              <w:t>-</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sz w:val="20"/>
              </w:rPr>
            </w:pPr>
            <w:r>
              <w:rPr>
                <w:sz w:val="20"/>
              </w:rPr>
              <w:t>-</w:t>
            </w:r>
          </w:p>
        </w:tc>
      </w:tr>
      <w:tr>
        <w:trPr/>
        <w:tc>
          <w:tcPr>
            <w:tcW w:w="4940" w:type="dxa"/>
            <w:tcBorders/>
            <w:shd w:fill="FFFFFF" w:val="clear"/>
            <w:vAlign w:val="center"/>
          </w:tcPr>
          <w:p>
            <w:pPr>
              <w:pStyle w:val="TableContents"/>
              <w:bidi w:val="0"/>
              <w:spacing w:before="0" w:after="283"/>
              <w:jc w:val="left"/>
              <w:rPr>
                <w:sz w:val="20"/>
              </w:rPr>
            </w:pPr>
            <w:r>
              <w:rPr>
                <w:sz w:val="20"/>
              </w:rPr>
              <w:t>Net income attributable to Sunlands Technology Group</w:t>
            </w:r>
          </w:p>
        </w:tc>
        <w:tc>
          <w:tcPr>
            <w:tcW w:w="60" w:type="dxa"/>
            <w:tcBorders/>
            <w:shd w:fill="FFFFFF" w:val="clear"/>
            <w:vAlign w:val="center"/>
          </w:tcPr>
          <w:p>
            <w:pPr>
              <w:pStyle w:val="TableContents"/>
              <w:bidi w:val="0"/>
              <w:spacing w:before="0" w:after="283"/>
              <w:jc w:val="left"/>
              <w:rPr/>
            </w:pPr>
            <w:r>
              <w:rPr/>
              <w:t> </w:t>
            </w:r>
          </w:p>
        </w:tc>
        <w:tc>
          <w:tcPr>
            <w:tcW w:w="109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89,289</w:t>
            </w:r>
          </w:p>
        </w:tc>
        <w:tc>
          <w:tcPr>
            <w:tcW w:w="70" w:type="dxa"/>
            <w:tcBorders/>
            <w:shd w:fill="FFFFFF" w:val="clear"/>
            <w:vAlign w:val="center"/>
          </w:tcPr>
          <w:p>
            <w:pPr>
              <w:pStyle w:val="TableContents"/>
              <w:bidi w:val="0"/>
              <w:spacing w:before="0" w:after="283"/>
              <w:jc w:val="right"/>
              <w:rPr/>
            </w:pPr>
            <w:r>
              <w:rPr/>
              <w:t> </w:t>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125,436</w:t>
            </w:r>
          </w:p>
        </w:tc>
        <w:tc>
          <w:tcPr>
            <w:tcW w:w="70" w:type="dxa"/>
            <w:tcBorders/>
            <w:shd w:fill="FFFFFF" w:val="clear"/>
            <w:vAlign w:val="center"/>
          </w:tcPr>
          <w:p>
            <w:pPr>
              <w:pStyle w:val="TableContents"/>
              <w:bidi w:val="0"/>
              <w:spacing w:before="0" w:after="283"/>
              <w:jc w:val="right"/>
              <w:rPr/>
            </w:pPr>
            <w:r>
              <w:rPr/>
              <w:t> </w:t>
            </w:r>
          </w:p>
        </w:tc>
        <w:tc>
          <w:tcPr>
            <w:tcW w:w="113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17,619</w:t>
            </w:r>
          </w:p>
        </w:tc>
      </w:tr>
      <w:tr>
        <w:trPr/>
        <w:tc>
          <w:tcPr>
            <w:tcW w:w="4940" w:type="dxa"/>
            <w:tcBorders/>
            <w:shd w:fill="D5EAEA" w:val="clear"/>
            <w:vAlign w:val="center"/>
          </w:tcPr>
          <w:p>
            <w:pPr>
              <w:pStyle w:val="TableContents"/>
              <w:bidi w:val="0"/>
              <w:spacing w:before="0" w:after="283"/>
              <w:jc w:val="left"/>
              <w:rPr>
                <w:sz w:val="20"/>
              </w:rPr>
            </w:pPr>
            <w:r>
              <w:rPr>
                <w:sz w:val="20"/>
              </w:rPr>
              <w:t>Net income per share attributable to ordinary shareholders of</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Sunlands Technology Group:</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Basic and diluted</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sz w:val="20"/>
              </w:rPr>
            </w:pPr>
            <w:r>
              <w:rPr>
                <w:sz w:val="20"/>
              </w:rPr>
              <w:t xml:space="preserve">13.08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sz w:val="20"/>
              </w:rPr>
            </w:pPr>
            <w:r>
              <w:rPr>
                <w:sz w:val="20"/>
              </w:rPr>
              <w:t>18.64  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jc w:val="right"/>
              <w:rPr>
                <w:sz w:val="20"/>
              </w:rPr>
            </w:pPr>
            <w:r>
              <w:rPr>
                <w:sz w:val="20"/>
              </w:rPr>
              <w:t>2.62  </w:t>
            </w:r>
          </w:p>
        </w:tc>
      </w:tr>
      <w:tr>
        <w:trPr/>
        <w:tc>
          <w:tcPr>
            <w:tcW w:w="4940" w:type="dxa"/>
            <w:tcBorders/>
            <w:shd w:fill="FFFFFF" w:val="clear"/>
            <w:vAlign w:val="center"/>
          </w:tcPr>
          <w:p>
            <w:pPr>
              <w:pStyle w:val="TableContents"/>
              <w:bidi w:val="0"/>
              <w:spacing w:before="0" w:after="283"/>
              <w:jc w:val="left"/>
              <w:rPr>
                <w:sz w:val="20"/>
              </w:rPr>
            </w:pPr>
            <w:r>
              <w:rPr>
                <w:sz w:val="20"/>
              </w:rPr>
              <w:t xml:space="preserve">Weighted average shares used in calculating net income </w:t>
            </w:r>
          </w:p>
        </w:tc>
        <w:tc>
          <w:tcPr>
            <w:tcW w:w="6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1133"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per ordinary share:</w:t>
            </w:r>
          </w:p>
        </w:tc>
        <w:tc>
          <w:tcPr>
            <w:tcW w:w="60" w:type="dxa"/>
            <w:tcBorders/>
            <w:shd w:fill="D5EAEA" w:val="clear"/>
            <w:vAlign w:val="center"/>
          </w:tcPr>
          <w:p>
            <w:pPr>
              <w:pStyle w:val="TableContents"/>
              <w:bidi w:val="0"/>
              <w:spacing w:before="0" w:after="283"/>
              <w:jc w:val="left"/>
              <w:rPr/>
            </w:pPr>
            <w:r>
              <w:rPr/>
              <w:t> </w:t>
            </w:r>
          </w:p>
        </w:tc>
        <w:tc>
          <w:tcPr>
            <w:tcW w:w="1098"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86" w:type="dxa"/>
            <w:tcBorders/>
            <w:shd w:fill="D5EAEA" w:val="clear"/>
            <w:vAlign w:val="center"/>
          </w:tcPr>
          <w:p>
            <w:pPr>
              <w:pStyle w:val="TableContents"/>
              <w:bidi w:val="0"/>
              <w:spacing w:before="0" w:after="283"/>
              <w:jc w:val="right"/>
              <w:rPr/>
            </w:pPr>
            <w:r>
              <w:rPr/>
              <w:t> </w:t>
            </w:r>
          </w:p>
        </w:tc>
        <w:tc>
          <w:tcPr>
            <w:tcW w:w="70" w:type="dxa"/>
            <w:tcBorders/>
            <w:shd w:fill="D5EAEA" w:val="clear"/>
            <w:vAlign w:val="center"/>
          </w:tcPr>
          <w:p>
            <w:pPr>
              <w:pStyle w:val="TableContents"/>
              <w:bidi w:val="0"/>
              <w:spacing w:before="0" w:after="283"/>
              <w:jc w:val="right"/>
              <w:rPr/>
            </w:pPr>
            <w:r>
              <w:rPr/>
              <w:t> </w:t>
            </w:r>
          </w:p>
        </w:tc>
        <w:tc>
          <w:tcPr>
            <w:tcW w:w="1133"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6,828,784  </w:t>
            </w:r>
          </w:p>
        </w:tc>
        <w:tc>
          <w:tcPr>
            <w:tcW w:w="70" w:type="dxa"/>
            <w:tcBorders/>
            <w:shd w:fill="FFFFFF" w:val="clear"/>
            <w:vAlign w:val="center"/>
          </w:tcPr>
          <w:p>
            <w:pPr>
              <w:pStyle w:val="TableContents"/>
              <w:bidi w:val="0"/>
              <w:spacing w:before="0" w:after="283"/>
              <w:jc w:val="right"/>
              <w:rPr/>
            </w:pPr>
            <w:r>
              <w:rPr/>
              <w:t> </w:t>
            </w:r>
          </w:p>
        </w:tc>
        <w:tc>
          <w:tcPr>
            <w:tcW w:w="118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6,728,503</w:t>
            </w:r>
          </w:p>
        </w:tc>
        <w:tc>
          <w:tcPr>
            <w:tcW w:w="70" w:type="dxa"/>
            <w:tcBorders/>
            <w:shd w:fill="FFFFFF" w:val="clear"/>
            <w:vAlign w:val="center"/>
          </w:tcPr>
          <w:p>
            <w:pPr>
              <w:pStyle w:val="TableContents"/>
              <w:bidi w:val="0"/>
              <w:spacing w:before="0" w:after="283"/>
              <w:jc w:val="right"/>
              <w:rPr/>
            </w:pPr>
            <w:r>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6,728,503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458" w:type="dxa"/>
        <w:jc w:val="left"/>
        <w:tblInd w:w="0" w:type="dxa"/>
        <w:tblLayout w:type="fixed"/>
        <w:tblCellMar>
          <w:top w:w="0" w:type="dxa"/>
          <w:left w:w="0" w:type="dxa"/>
          <w:bottom w:w="0" w:type="dxa"/>
          <w:right w:w="0" w:type="dxa"/>
        </w:tblCellMar>
      </w:tblPr>
      <w:tblGrid>
        <w:gridCol w:w="5840"/>
        <w:gridCol w:w="60"/>
        <w:gridCol w:w="993"/>
        <w:gridCol w:w="77"/>
        <w:gridCol w:w="1302"/>
        <w:gridCol w:w="77"/>
        <w:gridCol w:w="1109"/>
      </w:tblGrid>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8"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September 30,</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77" w:type="dxa"/>
            <w:tcBorders/>
            <w:shd w:fill="FFFFFF" w:val="clear"/>
            <w:vAlign w:val="center"/>
          </w:tcPr>
          <w:p>
            <w:pPr>
              <w:pStyle w:val="TableContents"/>
              <w:bidi w:val="0"/>
              <w:spacing w:before="0" w:after="283"/>
              <w:jc w:val="center"/>
              <w:rPr/>
            </w:pPr>
            <w:r>
              <w:rPr/>
              <w:t> </w:t>
            </w:r>
          </w:p>
        </w:tc>
        <w:tc>
          <w:tcPr>
            <w:tcW w:w="2488"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center"/>
              <w:rPr>
                <w:sz w:val="20"/>
              </w:rPr>
            </w:pPr>
            <w:r>
              <w:rPr>
                <w:sz w:val="20"/>
              </w:rPr>
              <w:t>RMB</w:t>
            </w:r>
          </w:p>
        </w:tc>
        <w:tc>
          <w:tcPr>
            <w:tcW w:w="77"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center"/>
              <w:rPr>
                <w:sz w:val="20"/>
              </w:rPr>
            </w:pPr>
            <w:r>
              <w:rPr>
                <w:sz w:val="20"/>
              </w:rPr>
              <w:t>RMB</w:t>
            </w:r>
          </w:p>
        </w:tc>
        <w:tc>
          <w:tcPr>
            <w:tcW w:w="77" w:type="dxa"/>
            <w:tcBorders/>
            <w:shd w:fill="FFFFFF" w:val="clear"/>
            <w:vAlign w:val="center"/>
          </w:tcPr>
          <w:p>
            <w:pPr>
              <w:pStyle w:val="TableContents"/>
              <w:bidi w:val="0"/>
              <w:spacing w:before="0" w:after="283"/>
              <w:jc w:val="center"/>
              <w:rPr/>
            </w:pPr>
            <w:r>
              <w:rPr/>
              <w:t> </w:t>
            </w:r>
          </w:p>
        </w:tc>
        <w:tc>
          <w:tcPr>
            <w:tcW w:w="1109" w:type="dxa"/>
            <w:tcBorders/>
            <w:shd w:fill="FFFFFF" w:val="clear"/>
            <w:vAlign w:val="center"/>
          </w:tcPr>
          <w:p>
            <w:pPr>
              <w:pStyle w:val="TableContents"/>
              <w:bidi w:val="0"/>
              <w:spacing w:before="0" w:after="283"/>
              <w:jc w:val="center"/>
              <w:rPr>
                <w:sz w:val="20"/>
              </w:rPr>
            </w:pPr>
            <w:r>
              <w:rPr>
                <w:sz w:val="20"/>
              </w:rPr>
              <w:t>US$</w:t>
            </w:r>
          </w:p>
        </w:tc>
      </w:tr>
      <w:tr>
        <w:trPr/>
        <w:tc>
          <w:tcPr>
            <w:tcW w:w="58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993" w:type="dxa"/>
            <w:tcBorders/>
            <w:shd w:fill="D5EAEA" w:val="clear"/>
            <w:vAlign w:val="center"/>
          </w:tcPr>
          <w:p>
            <w:pPr>
              <w:pStyle w:val="TableContents"/>
              <w:bidi w:val="0"/>
              <w:spacing w:before="0" w:after="283"/>
              <w:jc w:val="right"/>
              <w:rPr/>
            </w:pPr>
            <w:r>
              <w:rPr/>
              <w:t> </w:t>
            </w:r>
            <w:r>
              <w:rPr>
                <w:sz w:val="20"/>
              </w:rPr>
              <w:t xml:space="preserve">89,289 </w:t>
            </w:r>
          </w:p>
        </w:tc>
        <w:tc>
          <w:tcPr>
            <w:tcW w:w="77" w:type="dxa"/>
            <w:tcBorders/>
            <w:shd w:fill="D5EAEA" w:val="clear"/>
            <w:vAlign w:val="center"/>
          </w:tcPr>
          <w:p>
            <w:pPr>
              <w:pStyle w:val="TableContents"/>
              <w:bidi w:val="0"/>
              <w:spacing w:before="0" w:after="283"/>
              <w:jc w:val="right"/>
              <w:rPr/>
            </w:pPr>
            <w:r>
              <w:rPr/>
              <w:t> </w:t>
            </w:r>
          </w:p>
        </w:tc>
        <w:tc>
          <w:tcPr>
            <w:tcW w:w="1302" w:type="dxa"/>
            <w:tcBorders/>
            <w:shd w:fill="D5EAEA" w:val="clear"/>
            <w:vAlign w:val="center"/>
          </w:tcPr>
          <w:p>
            <w:pPr>
              <w:pStyle w:val="TableContents"/>
              <w:bidi w:val="0"/>
              <w:spacing w:before="0" w:after="283"/>
              <w:jc w:val="right"/>
              <w:rPr/>
            </w:pPr>
            <w:r>
              <w:rPr/>
              <w:t xml:space="preserve">   </w:t>
            </w:r>
            <w:r>
              <w:rPr>
                <w:sz w:val="20"/>
              </w:rPr>
              <w:t>125,436  </w:t>
            </w:r>
          </w:p>
        </w:tc>
        <w:tc>
          <w:tcPr>
            <w:tcW w:w="77" w:type="dxa"/>
            <w:tcBorders/>
            <w:shd w:fill="D5EAEA" w:val="clear"/>
            <w:vAlign w:val="center"/>
          </w:tcPr>
          <w:p>
            <w:pPr>
              <w:pStyle w:val="TableContents"/>
              <w:bidi w:val="0"/>
              <w:spacing w:before="0" w:after="283"/>
              <w:jc w:val="right"/>
              <w:rPr/>
            </w:pPr>
            <w:r>
              <w:rPr/>
              <w:t> </w:t>
            </w:r>
          </w:p>
        </w:tc>
        <w:tc>
          <w:tcPr>
            <w:tcW w:w="1109" w:type="dxa"/>
            <w:tcBorders/>
            <w:shd w:fill="D5EAEA" w:val="clear"/>
            <w:vAlign w:val="center"/>
          </w:tcPr>
          <w:p>
            <w:pPr>
              <w:pStyle w:val="TableContents"/>
              <w:bidi w:val="0"/>
              <w:spacing w:before="0" w:after="283"/>
              <w:jc w:val="right"/>
              <w:rPr/>
            </w:pPr>
            <w:r>
              <w:rPr/>
              <w:t>  </w:t>
            </w:r>
            <w:r>
              <w:rPr>
                <w:sz w:val="20"/>
              </w:rPr>
              <w:t>17,619  </w:t>
            </w:r>
          </w:p>
        </w:tc>
      </w:tr>
      <w:tr>
        <w:trPr/>
        <w:tc>
          <w:tcPr>
            <w:tcW w:w="5840" w:type="dxa"/>
            <w:tcBorders/>
            <w:shd w:fill="FFFFFF" w:val="clear"/>
            <w:vAlign w:val="center"/>
          </w:tcPr>
          <w:p>
            <w:pPr>
              <w:pStyle w:val="TableContents"/>
              <w:bidi w:val="0"/>
              <w:spacing w:before="0" w:after="283"/>
              <w:jc w:val="left"/>
              <w:rPr>
                <w:sz w:val="20"/>
              </w:rPr>
            </w:pPr>
            <w:r>
              <w:rPr>
                <w:sz w:val="20"/>
              </w:rPr>
              <w:t>Other comprehensive (loss)/income, net of tax effect of nil:</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30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109" w:type="dxa"/>
            <w:tcBorders/>
            <w:shd w:fill="FFFFFF" w:val="clear"/>
            <w:vAlign w:val="center"/>
          </w:tcPr>
          <w:p>
            <w:pPr>
              <w:pStyle w:val="TableContents"/>
              <w:bidi w:val="0"/>
              <w:spacing w:before="0" w:after="283"/>
              <w:ind w:left="0" w:right="0" w:firstLine="180"/>
              <w:jc w:val="right"/>
              <w:rPr/>
            </w:pPr>
            <w:r>
              <w:rPr/>
              <w:t> </w:t>
            </w:r>
          </w:p>
        </w:tc>
      </w:tr>
      <w:tr>
        <w:trPr/>
        <w:tc>
          <w:tcPr>
            <w:tcW w:w="5840" w:type="dxa"/>
            <w:tcBorders/>
            <w:shd w:fill="D5EAEA" w:val="clear"/>
            <w:vAlign w:val="center"/>
          </w:tcPr>
          <w:p>
            <w:pPr>
              <w:pStyle w:val="TableContents"/>
              <w:bidi w:val="0"/>
              <w:spacing w:before="0" w:after="283"/>
              <w:jc w:val="left"/>
              <w:rPr>
                <w:sz w:val="20"/>
              </w:rPr>
            </w:pPr>
            <w:r>
              <w:rPr>
                <w:sz w:val="20"/>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993" w:type="dxa"/>
            <w:tcBorders/>
            <w:shd w:fill="D5EAEA" w:val="clear"/>
            <w:vAlign w:val="center"/>
          </w:tcPr>
          <w:p>
            <w:pPr>
              <w:pStyle w:val="TableContents"/>
              <w:bidi w:val="0"/>
              <w:spacing w:before="0" w:after="283"/>
              <w:jc w:val="right"/>
              <w:rPr/>
            </w:pPr>
            <w:r>
              <w:rPr/>
              <w:t> </w:t>
            </w:r>
            <w:r>
              <w:rPr>
                <w:sz w:val="20"/>
              </w:rPr>
              <w:t>(20,526)</w:t>
            </w:r>
          </w:p>
        </w:tc>
        <w:tc>
          <w:tcPr>
            <w:tcW w:w="77" w:type="dxa"/>
            <w:tcBorders/>
            <w:shd w:fill="D5EAEA" w:val="clear"/>
            <w:vAlign w:val="center"/>
          </w:tcPr>
          <w:p>
            <w:pPr>
              <w:pStyle w:val="TableContents"/>
              <w:bidi w:val="0"/>
              <w:spacing w:before="0" w:after="283"/>
              <w:jc w:val="right"/>
              <w:rPr/>
            </w:pPr>
            <w:r>
              <w:rPr/>
              <w:t> </w:t>
            </w:r>
          </w:p>
        </w:tc>
        <w:tc>
          <w:tcPr>
            <w:tcW w:w="1302" w:type="dxa"/>
            <w:tcBorders/>
            <w:shd w:fill="D5EAEA" w:val="clear"/>
            <w:vAlign w:val="center"/>
          </w:tcPr>
          <w:p>
            <w:pPr>
              <w:pStyle w:val="TableContents"/>
              <w:bidi w:val="0"/>
              <w:spacing w:before="0" w:after="283"/>
              <w:jc w:val="right"/>
              <w:rPr/>
            </w:pPr>
            <w:r>
              <w:rPr/>
              <w:t> </w:t>
            </w:r>
            <w:r>
              <w:rPr>
                <w:sz w:val="20"/>
              </w:rPr>
              <w:t xml:space="preserve">(3,671) </w:t>
            </w:r>
          </w:p>
        </w:tc>
        <w:tc>
          <w:tcPr>
            <w:tcW w:w="77" w:type="dxa"/>
            <w:tcBorders/>
            <w:shd w:fill="D5EAEA" w:val="clear"/>
            <w:vAlign w:val="center"/>
          </w:tcPr>
          <w:p>
            <w:pPr>
              <w:pStyle w:val="TableContents"/>
              <w:bidi w:val="0"/>
              <w:spacing w:before="0" w:after="283"/>
              <w:jc w:val="right"/>
              <w:rPr/>
            </w:pPr>
            <w:r>
              <w:rPr/>
              <w:t> </w:t>
            </w:r>
          </w:p>
        </w:tc>
        <w:tc>
          <w:tcPr>
            <w:tcW w:w="1109" w:type="dxa"/>
            <w:tcBorders/>
            <w:shd w:fill="D5EAEA" w:val="clear"/>
            <w:vAlign w:val="center"/>
          </w:tcPr>
          <w:p>
            <w:pPr>
              <w:pStyle w:val="TableContents"/>
              <w:bidi w:val="0"/>
              <w:spacing w:before="0" w:after="283"/>
              <w:ind w:left="0" w:right="0" w:firstLine="180"/>
              <w:jc w:val="right"/>
              <w:rPr/>
            </w:pPr>
            <w:r>
              <w:rPr/>
              <w:t> </w:t>
            </w:r>
            <w:r>
              <w:rPr>
                <w:sz w:val="20"/>
              </w:rPr>
              <w:t>(516)</w:t>
            </w:r>
          </w:p>
        </w:tc>
      </w:tr>
      <w:tr>
        <w:trPr/>
        <w:tc>
          <w:tcPr>
            <w:tcW w:w="5840" w:type="dxa"/>
            <w:tcBorders/>
            <w:shd w:fill="FFFFFF" w:val="clear"/>
            <w:vAlign w:val="center"/>
          </w:tcPr>
          <w:p>
            <w:pPr>
              <w:pStyle w:val="TableContents"/>
              <w:bidi w:val="0"/>
              <w:spacing w:before="0" w:after="283"/>
              <w:jc w:val="left"/>
              <w:rPr>
                <w:sz w:val="20"/>
              </w:rPr>
            </w:pPr>
            <w:r>
              <w:rPr>
                <w:sz w:val="20"/>
              </w:rPr>
              <w:t>Unrealized loss on available-for-sale investments, net of tax effect of nil</w:t>
            </w:r>
          </w:p>
        </w:tc>
        <w:tc>
          <w:tcPr>
            <w:tcW w:w="60" w:type="dxa"/>
            <w:tcBorders/>
            <w:shd w:fill="FFFFFF" w:val="cle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jc w:val="righ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 xml:space="preserve">8,592 </w:t>
            </w:r>
          </w:p>
        </w:tc>
        <w:tc>
          <w:tcPr>
            <w:tcW w:w="77" w:type="dxa"/>
            <w:tcBorders/>
            <w:shd w:fill="FFFFFF" w:val="clear"/>
            <w:vAlign w:val="center"/>
          </w:tcPr>
          <w:p>
            <w:pPr>
              <w:pStyle w:val="TableContents"/>
              <w:bidi w:val="0"/>
              <w:spacing w:before="0" w:after="283"/>
              <w:jc w:val="right"/>
              <w:rPr/>
            </w:pPr>
            <w:r>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1,207  </w:t>
            </w:r>
          </w:p>
        </w:tc>
      </w:tr>
      <w:tr>
        <w:trPr/>
        <w:tc>
          <w:tcPr>
            <w:tcW w:w="5840" w:type="dxa"/>
            <w:tcBorders/>
            <w:shd w:fill="D5EAEA" w:val="clear"/>
            <w:vAlign w:val="center"/>
          </w:tcPr>
          <w:p>
            <w:pPr>
              <w:pStyle w:val="TableContents"/>
              <w:bidi w:val="0"/>
              <w:spacing w:before="0" w:after="283"/>
              <w:jc w:val="left"/>
              <w:rPr>
                <w:sz w:val="20"/>
              </w:rPr>
            </w:pPr>
            <w:r>
              <w:rPr>
                <w:sz w:val="20"/>
              </w:rPr>
              <w:t>Total comprehensive income</w:t>
            </w:r>
          </w:p>
        </w:tc>
        <w:tc>
          <w:tcPr>
            <w:tcW w:w="60" w:type="dxa"/>
            <w:tcBorders/>
            <w:shd w:fill="D5EAEA" w:val="clear"/>
            <w:vAlign w:val="center"/>
          </w:tcPr>
          <w:p>
            <w:pPr>
              <w:pStyle w:val="TableContents"/>
              <w:bidi w:val="0"/>
              <w:spacing w:before="0" w:after="283"/>
              <w:jc w:val="left"/>
              <w:rPr/>
            </w:pPr>
            <w:r>
              <w:rPr/>
              <w:t> </w:t>
            </w:r>
          </w:p>
        </w:tc>
        <w:tc>
          <w:tcPr>
            <w:tcW w:w="99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68,763  </w:t>
            </w:r>
          </w:p>
        </w:tc>
        <w:tc>
          <w:tcPr>
            <w:tcW w:w="77" w:type="dxa"/>
            <w:tcBorders/>
            <w:shd w:fill="D5EAEA" w:val="clear"/>
            <w:vAlign w:val="center"/>
          </w:tcPr>
          <w:p>
            <w:pPr>
              <w:pStyle w:val="TableContents"/>
              <w:bidi w:val="0"/>
              <w:spacing w:before="0" w:after="283"/>
              <w:jc w:val="right"/>
              <w:rPr/>
            </w:pPr>
            <w:r>
              <w:rPr/>
              <w:t> </w:t>
            </w:r>
          </w:p>
        </w:tc>
        <w:tc>
          <w:tcPr>
            <w:tcW w:w="1302"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130,357  </w:t>
            </w:r>
          </w:p>
        </w:tc>
        <w:tc>
          <w:tcPr>
            <w:tcW w:w="77" w:type="dxa"/>
            <w:tcBorders/>
            <w:shd w:fill="D5EAEA" w:val="clear"/>
            <w:vAlign w:val="center"/>
          </w:tcPr>
          <w:p>
            <w:pPr>
              <w:pStyle w:val="TableContents"/>
              <w:bidi w:val="0"/>
              <w:spacing w:before="0" w:after="283"/>
              <w:jc w:val="right"/>
              <w:rPr/>
            </w:pPr>
            <w:r>
              <w:rPr/>
              <w:t> </w:t>
            </w:r>
          </w:p>
        </w:tc>
        <w:tc>
          <w:tcPr>
            <w:tcW w:w="1109"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18,310   </w:t>
            </w:r>
          </w:p>
        </w:tc>
      </w:tr>
      <w:tr>
        <w:trPr/>
        <w:tc>
          <w:tcPr>
            <w:tcW w:w="5840" w:type="dxa"/>
            <w:tcBorders/>
            <w:shd w:fill="FFFFFF" w:val="cle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attributable to non-controlling interest</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jc w:val="righ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jc w:val="right"/>
              <w:rPr/>
            </w:pPr>
            <w:r>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ind w:left="0" w:right="0" w:hanging="360"/>
              <w:jc w:val="right"/>
              <w:rPr>
                <w:sz w:val="20"/>
              </w:rPr>
            </w:pPr>
            <w:r>
              <w:rPr>
                <w:sz w:val="20"/>
              </w:rPr>
              <w:t>-</w:t>
            </w:r>
          </w:p>
        </w:tc>
      </w:tr>
      <w:tr>
        <w:trPr/>
        <w:tc>
          <w:tcPr>
            <w:tcW w:w="5840" w:type="dxa"/>
            <w:tcBorders/>
            <w:shd w:fill="D5EAEA" w:val="clear"/>
            <w:vAlign w:val="center"/>
          </w:tcPr>
          <w:p>
            <w:pPr>
              <w:pStyle w:val="TableContents"/>
              <w:bidi w:val="0"/>
              <w:spacing w:before="0" w:after="283"/>
              <w:jc w:val="left"/>
              <w:rPr>
                <w:sz w:val="20"/>
              </w:rPr>
            </w:pPr>
            <w:r>
              <w:rPr>
                <w:sz w:val="20"/>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993"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68,763  </w:t>
            </w:r>
          </w:p>
        </w:tc>
        <w:tc>
          <w:tcPr>
            <w:tcW w:w="77" w:type="dxa"/>
            <w:tcBorders/>
            <w:shd w:fill="D5EAEA" w:val="clear"/>
            <w:vAlign w:val="center"/>
          </w:tcPr>
          <w:p>
            <w:pPr>
              <w:pStyle w:val="TableContents"/>
              <w:bidi w:val="0"/>
              <w:spacing w:before="0" w:after="283"/>
              <w:jc w:val="right"/>
              <w:rPr/>
            </w:pPr>
            <w:r>
              <w:rPr/>
              <w:t> </w:t>
            </w:r>
          </w:p>
        </w:tc>
        <w:tc>
          <w:tcPr>
            <w:tcW w:w="1302" w:type="dxa"/>
            <w:tcBorders>
              <w:bottom w:val="single" w:sz="8" w:space="0" w:color="000000"/>
            </w:tcBorders>
            <w:shd w:fill="D5EAEA" w:val="clear"/>
            <w:tcMar>
              <w:bottom w:w="28" w:type="dxa"/>
            </w:tcMar>
            <w:vAlign w:val="center"/>
          </w:tcPr>
          <w:p>
            <w:pPr>
              <w:pStyle w:val="TableContents"/>
              <w:bidi w:val="0"/>
              <w:spacing w:before="0" w:after="283"/>
              <w:jc w:val="right"/>
              <w:rPr/>
            </w:pPr>
            <w:r>
              <w:rPr/>
              <w:t xml:space="preserve">   </w:t>
            </w:r>
            <w:r>
              <w:rPr>
                <w:sz w:val="20"/>
              </w:rPr>
              <w:t xml:space="preserve">130,357   </w:t>
            </w:r>
          </w:p>
        </w:tc>
        <w:tc>
          <w:tcPr>
            <w:tcW w:w="77" w:type="dxa"/>
            <w:tcBorders/>
            <w:shd w:fill="D5EAEA" w:val="clear"/>
            <w:vAlign w:val="center"/>
          </w:tcPr>
          <w:p>
            <w:pPr>
              <w:pStyle w:val="TableContents"/>
              <w:bidi w:val="0"/>
              <w:spacing w:before="0" w:after="283"/>
              <w:jc w:val="right"/>
              <w:rPr/>
            </w:pPr>
            <w:r>
              <w:rPr/>
              <w:t> </w:t>
            </w:r>
          </w:p>
        </w:tc>
        <w:tc>
          <w:tcPr>
            <w:tcW w:w="1109"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18,310  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964" w:type="dxa"/>
        <w:jc w:val="left"/>
        <w:tblInd w:w="0" w:type="dxa"/>
        <w:tblLayout w:type="fixed"/>
        <w:tblCellMar>
          <w:top w:w="0" w:type="dxa"/>
          <w:left w:w="0" w:type="dxa"/>
          <w:bottom w:w="0" w:type="dxa"/>
          <w:right w:w="0" w:type="dxa"/>
        </w:tblCellMar>
      </w:tblPr>
      <w:tblGrid>
        <w:gridCol w:w="5345"/>
        <w:gridCol w:w="60"/>
        <w:gridCol w:w="1631"/>
        <w:gridCol w:w="108"/>
        <w:gridCol w:w="1820"/>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9"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September 30,</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1"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108" w:type="dxa"/>
            <w:tcBorders/>
            <w:shd w:fill="FFFFFF" w:val="clear"/>
            <w:vAlign w:val="center"/>
          </w:tcPr>
          <w:p>
            <w:pPr>
              <w:pStyle w:val="TableContents"/>
              <w:bidi w:val="0"/>
              <w:spacing w:before="0" w:after="283"/>
              <w:jc w:val="center"/>
              <w:rPr/>
            </w:pPr>
            <w:r>
              <w:rPr/>
              <w:t> </w:t>
            </w:r>
          </w:p>
        </w:tc>
        <w:tc>
          <w:tcPr>
            <w:tcW w:w="1820"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center"/>
              <w:rPr>
                <w:sz w:val="20"/>
              </w:rPr>
            </w:pPr>
            <w:r>
              <w:rPr>
                <w:sz w:val="20"/>
              </w:rPr>
              <w:t>RMB</w:t>
            </w:r>
          </w:p>
        </w:tc>
        <w:tc>
          <w:tcPr>
            <w:tcW w:w="108"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center"/>
              <w:rPr>
                <w:sz w:val="20"/>
              </w:rPr>
            </w:pPr>
            <w:r>
              <w:rPr>
                <w:sz w:val="20"/>
              </w:rPr>
              <w:t>RMB</w:t>
            </w:r>
          </w:p>
        </w:tc>
      </w:tr>
      <w:tr>
        <w:trPr/>
        <w:tc>
          <w:tcPr>
            <w:tcW w:w="5345"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63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491,264  </w:t>
            </w:r>
          </w:p>
        </w:tc>
        <w:tc>
          <w:tcPr>
            <w:tcW w:w="108" w:type="dxa"/>
            <w:tcBorders/>
            <w:shd w:fill="D5EAEA" w:val="clear"/>
            <w:vAlign w:val="center"/>
          </w:tcPr>
          <w:p>
            <w:pPr>
              <w:pStyle w:val="TableContents"/>
              <w:bidi w:val="0"/>
              <w:spacing w:before="0" w:after="283"/>
              <w:jc w:val="right"/>
              <w:rPr/>
            </w:pPr>
            <w:r>
              <w:rPr/>
              <w:t> </w:t>
            </w:r>
          </w:p>
        </w:tc>
        <w:tc>
          <w:tcPr>
            <w:tcW w:w="182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523,049  </w:t>
            </w:r>
          </w:p>
        </w:tc>
      </w:tr>
      <w:tr>
        <w:trPr/>
        <w:tc>
          <w:tcPr>
            <w:tcW w:w="5345" w:type="dxa"/>
            <w:tcBorders/>
            <w:shd w:fill="FFFFFF" w:val="clear"/>
            <w:vAlign w:val="center"/>
          </w:tcPr>
          <w:p>
            <w:pPr>
              <w:pStyle w:val="TableContents"/>
              <w:bidi w:val="0"/>
              <w:spacing w:before="0" w:after="283"/>
              <w:jc w:val="left"/>
              <w:rPr>
                <w:sz w:val="20"/>
              </w:rPr>
            </w:pPr>
            <w:r>
              <w:rPr>
                <w:sz w:val="20"/>
              </w:rPr>
              <w:t>Less: other revenues</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(84,838)</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sz w:val="20"/>
              </w:rPr>
            </w:pPr>
            <w:r>
              <w:rPr>
                <w:sz w:val="20"/>
              </w:rPr>
              <w:t>(61,277)</w:t>
            </w:r>
          </w:p>
        </w:tc>
      </w:tr>
      <w:tr>
        <w:trPr/>
        <w:tc>
          <w:tcPr>
            <w:tcW w:w="5345" w:type="dxa"/>
            <w:tcBorders/>
            <w:shd w:fill="D5EAEA" w:val="clear"/>
            <w:vAlign w:val="center"/>
          </w:tcPr>
          <w:p>
            <w:pPr>
              <w:pStyle w:val="TableContents"/>
              <w:bidi w:val="0"/>
              <w:spacing w:before="0" w:after="283"/>
              <w:jc w:val="left"/>
              <w:rPr>
                <w:sz w:val="20"/>
              </w:rPr>
            </w:pPr>
            <w:r>
              <w:rPr>
                <w:sz w:val="20"/>
              </w:rPr>
              <w:t>Add: tax and surcharges</w:t>
            </w:r>
          </w:p>
        </w:tc>
        <w:tc>
          <w:tcPr>
            <w:tcW w:w="60" w:type="dxa"/>
            <w:tcBorders/>
            <w:shd w:fill="D5EAEA" w:val="clear"/>
            <w:vAlign w:val="center"/>
          </w:tcPr>
          <w:p>
            <w:pPr>
              <w:pStyle w:val="TableContents"/>
              <w:bidi w:val="0"/>
              <w:spacing w:before="0" w:after="283"/>
              <w:jc w:val="left"/>
              <w:rPr/>
            </w:pPr>
            <w:r>
              <w:rPr/>
              <w:t> </w:t>
            </w:r>
          </w:p>
        </w:tc>
        <w:tc>
          <w:tcPr>
            <w:tcW w:w="1631" w:type="dxa"/>
            <w:tcBorders/>
            <w:shd w:fill="D5EAEA" w:val="clear"/>
            <w:vAlign w:val="center"/>
          </w:tcPr>
          <w:p>
            <w:pPr>
              <w:pStyle w:val="TableContents"/>
              <w:bidi w:val="0"/>
              <w:spacing w:before="0" w:after="283"/>
              <w:jc w:val="right"/>
              <w:rPr/>
            </w:pPr>
            <w:r>
              <w:rPr/>
              <w:t> </w:t>
            </w:r>
            <w:r>
              <w:rPr>
                <w:sz w:val="20"/>
              </w:rPr>
              <w:t>23,931  </w:t>
            </w:r>
          </w:p>
        </w:tc>
        <w:tc>
          <w:tcPr>
            <w:tcW w:w="108" w:type="dxa"/>
            <w:tcBorders/>
            <w:shd w:fill="D5EAEA" w:val="clear"/>
            <w:vAlign w:val="center"/>
          </w:tcPr>
          <w:p>
            <w:pPr>
              <w:pStyle w:val="TableContents"/>
              <w:bidi w:val="0"/>
              <w:spacing w:before="0" w:after="283"/>
              <w:jc w:val="right"/>
              <w:rPr/>
            </w:pPr>
            <w:r>
              <w:rPr/>
              <w:t> </w:t>
            </w:r>
          </w:p>
        </w:tc>
        <w:tc>
          <w:tcPr>
            <w:tcW w:w="1820" w:type="dxa"/>
            <w:tcBorders/>
            <w:shd w:fill="D5EAEA" w:val="clear"/>
            <w:vAlign w:val="center"/>
          </w:tcPr>
          <w:p>
            <w:pPr>
              <w:pStyle w:val="TableContents"/>
              <w:bidi w:val="0"/>
              <w:spacing w:before="0" w:after="283"/>
              <w:jc w:val="right"/>
              <w:rPr/>
            </w:pPr>
            <w:r>
              <w:rPr/>
              <w:t> </w:t>
            </w:r>
            <w:r>
              <w:rPr>
                <w:sz w:val="20"/>
              </w:rPr>
              <w:t>16,310  </w:t>
            </w:r>
          </w:p>
        </w:tc>
      </w:tr>
      <w:tr>
        <w:trPr/>
        <w:tc>
          <w:tcPr>
            <w:tcW w:w="5345" w:type="dxa"/>
            <w:tcBorders/>
            <w:shd w:fill="FFFFFF" w:val="clear"/>
            <w:vAlign w:val="center"/>
          </w:tcPr>
          <w:p>
            <w:pPr>
              <w:pStyle w:val="TableContents"/>
              <w:bidi w:val="0"/>
              <w:spacing w:before="0" w:after="283"/>
              <w:jc w:val="left"/>
              <w:rPr>
                <w:sz w:val="20"/>
              </w:rPr>
            </w:pPr>
            <w:r>
              <w:rPr>
                <w:sz w:val="20"/>
              </w:rPr>
              <w:t>Add: ending deferred revenue</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920,593  </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pPr>
            <w:r>
              <w:rPr/>
              <w:t>  </w:t>
            </w:r>
            <w:r>
              <w:rPr>
                <w:sz w:val="20"/>
              </w:rPr>
              <w:t>695,459  </w:t>
            </w:r>
          </w:p>
        </w:tc>
      </w:tr>
      <w:tr>
        <w:trPr/>
        <w:tc>
          <w:tcPr>
            <w:tcW w:w="5345" w:type="dxa"/>
            <w:tcBorders/>
            <w:shd w:fill="D5EAEA" w:val="clear"/>
            <w:vAlign w:val="center"/>
          </w:tcPr>
          <w:p>
            <w:pPr>
              <w:pStyle w:val="TableContents"/>
              <w:bidi w:val="0"/>
              <w:spacing w:before="0" w:after="283"/>
              <w:jc w:val="left"/>
              <w:rPr>
                <w:sz w:val="20"/>
              </w:rPr>
            </w:pPr>
            <w:r>
              <w:rPr>
                <w:sz w:val="20"/>
              </w:rPr>
              <w:t>Add: deferred revenue in connection with disposal of subsidiaries</w:t>
            </w:r>
          </w:p>
        </w:tc>
        <w:tc>
          <w:tcPr>
            <w:tcW w:w="60" w:type="dxa"/>
            <w:tcBorders/>
            <w:shd w:fill="D5EAEA" w:val="clear"/>
            <w:vAlign w:val="center"/>
          </w:tcPr>
          <w:p>
            <w:pPr>
              <w:pStyle w:val="TableContents"/>
              <w:bidi w:val="0"/>
              <w:spacing w:before="0" w:after="283"/>
              <w:jc w:val="left"/>
              <w:rPr/>
            </w:pPr>
            <w:r>
              <w:rPr/>
              <w:t> </w:t>
            </w:r>
          </w:p>
        </w:tc>
        <w:tc>
          <w:tcPr>
            <w:tcW w:w="1631" w:type="dxa"/>
            <w:tcBorders/>
            <w:shd w:fill="D5EAEA" w:val="clear"/>
            <w:vAlign w:val="center"/>
          </w:tcPr>
          <w:p>
            <w:pPr>
              <w:pStyle w:val="TableContents"/>
              <w:bidi w:val="0"/>
              <w:spacing w:before="0" w:after="283"/>
              <w:jc w:val="right"/>
              <w:rPr/>
            </w:pPr>
            <w:r>
              <w:rPr/>
              <w:t>  </w:t>
            </w:r>
            <w:r>
              <w:rPr>
                <w:sz w:val="20"/>
              </w:rPr>
              <w:t>3,423</w:t>
            </w:r>
          </w:p>
        </w:tc>
        <w:tc>
          <w:tcPr>
            <w:tcW w:w="108" w:type="dxa"/>
            <w:tcBorders/>
            <w:shd w:fill="D5EAEA" w:val="clear"/>
            <w:vAlign w:val="center"/>
          </w:tcPr>
          <w:p>
            <w:pPr>
              <w:pStyle w:val="TableContents"/>
              <w:bidi w:val="0"/>
              <w:spacing w:before="0" w:after="283"/>
              <w:jc w:val="right"/>
              <w:rPr/>
            </w:pPr>
            <w:r>
              <w:rPr/>
              <w:t> </w:t>
            </w:r>
          </w:p>
        </w:tc>
        <w:tc>
          <w:tcPr>
            <w:tcW w:w="1820" w:type="dxa"/>
            <w:tcBorders/>
            <w:shd w:fill="D5EAEA" w:val="clear"/>
            <w:vAlign w:val="center"/>
          </w:tcPr>
          <w:p>
            <w:pPr>
              <w:pStyle w:val="TableContents"/>
              <w:bidi w:val="0"/>
              <w:spacing w:before="0" w:after="283"/>
              <w:jc w:val="right"/>
              <w:rPr>
                <w:sz w:val="20"/>
              </w:rPr>
            </w:pPr>
            <w:r>
              <w:rPr>
                <w:sz w:val="20"/>
              </w:rPr>
              <w:t>-</w:t>
            </w:r>
          </w:p>
        </w:tc>
      </w:tr>
      <w:tr>
        <w:trPr/>
        <w:tc>
          <w:tcPr>
            <w:tcW w:w="5345" w:type="dxa"/>
            <w:tcBorders/>
            <w:shd w:fill="FFFFFF" w:val="clear"/>
            <w:vAlign w:val="center"/>
          </w:tcPr>
          <w:p>
            <w:pPr>
              <w:pStyle w:val="TableContents"/>
              <w:bidi w:val="0"/>
              <w:spacing w:before="0" w:after="283"/>
              <w:jc w:val="left"/>
              <w:rPr>
                <w:sz w:val="20"/>
              </w:rPr>
            </w:pPr>
            <w:r>
              <w:rPr>
                <w:sz w:val="20"/>
              </w:rPr>
              <w:t>Add: ending refund liability</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 xml:space="preserve">119,618   </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pPr>
            <w:r>
              <w:rPr/>
              <w:t>  </w:t>
            </w:r>
            <w:r>
              <w:rPr>
                <w:sz w:val="20"/>
              </w:rPr>
              <w:t>67,828  </w:t>
            </w:r>
          </w:p>
        </w:tc>
      </w:tr>
      <w:tr>
        <w:trPr/>
        <w:tc>
          <w:tcPr>
            <w:tcW w:w="5345" w:type="dxa"/>
            <w:tcBorders/>
            <w:shd w:fill="D5EAEA" w:val="clear"/>
            <w:vAlign w:val="center"/>
          </w:tcPr>
          <w:p>
            <w:pPr>
              <w:pStyle w:val="TableContents"/>
              <w:bidi w:val="0"/>
              <w:spacing w:before="0" w:after="283"/>
              <w:jc w:val="left"/>
              <w:rPr>
                <w:sz w:val="20"/>
              </w:rPr>
            </w:pPr>
            <w:r>
              <w:rPr>
                <w:sz w:val="20"/>
              </w:rPr>
              <w:t>Less: beginning deferred revenue</w:t>
            </w:r>
          </w:p>
        </w:tc>
        <w:tc>
          <w:tcPr>
            <w:tcW w:w="60" w:type="dxa"/>
            <w:tcBorders/>
            <w:shd w:fill="D5EAEA" w:val="clear"/>
            <w:vAlign w:val="center"/>
          </w:tcPr>
          <w:p>
            <w:pPr>
              <w:pStyle w:val="TableContents"/>
              <w:bidi w:val="0"/>
              <w:spacing w:before="0" w:after="283"/>
              <w:jc w:val="left"/>
              <w:rPr/>
            </w:pPr>
            <w:r>
              <w:rPr/>
              <w:t> </w:t>
            </w:r>
          </w:p>
        </w:tc>
        <w:tc>
          <w:tcPr>
            <w:tcW w:w="1631" w:type="dxa"/>
            <w:tcBorders/>
            <w:shd w:fill="D5EAEA" w:val="clear"/>
            <w:vAlign w:val="center"/>
          </w:tcPr>
          <w:p>
            <w:pPr>
              <w:pStyle w:val="TableContents"/>
              <w:bidi w:val="0"/>
              <w:spacing w:before="0" w:after="283"/>
              <w:jc w:val="right"/>
              <w:rPr/>
            </w:pPr>
            <w:r>
              <w:rPr/>
              <w:t> </w:t>
            </w:r>
            <w:r>
              <w:rPr>
                <w:sz w:val="20"/>
              </w:rPr>
              <w:t>(986,938)</w:t>
            </w:r>
          </w:p>
        </w:tc>
        <w:tc>
          <w:tcPr>
            <w:tcW w:w="108" w:type="dxa"/>
            <w:tcBorders/>
            <w:shd w:fill="D5EAEA" w:val="clear"/>
            <w:vAlign w:val="center"/>
          </w:tcPr>
          <w:p>
            <w:pPr>
              <w:pStyle w:val="TableContents"/>
              <w:bidi w:val="0"/>
              <w:spacing w:before="0" w:after="283"/>
              <w:jc w:val="right"/>
              <w:rPr/>
            </w:pPr>
            <w:r>
              <w:rPr/>
              <w:t> </w:t>
            </w:r>
          </w:p>
        </w:tc>
        <w:tc>
          <w:tcPr>
            <w:tcW w:w="1820" w:type="dxa"/>
            <w:tcBorders/>
            <w:shd w:fill="D5EAEA" w:val="clear"/>
            <w:vAlign w:val="center"/>
          </w:tcPr>
          <w:p>
            <w:pPr>
              <w:pStyle w:val="TableContents"/>
              <w:bidi w:val="0"/>
              <w:spacing w:before="0" w:after="283"/>
              <w:jc w:val="right"/>
              <w:rPr/>
            </w:pPr>
            <w:r>
              <w:rPr/>
              <w:t xml:space="preserve">   </w:t>
            </w:r>
            <w:r>
              <w:rPr>
                <w:sz w:val="20"/>
              </w:rPr>
              <w:t>(814,277)</w:t>
            </w:r>
          </w:p>
        </w:tc>
      </w:tr>
      <w:tr>
        <w:trPr/>
        <w:tc>
          <w:tcPr>
            <w:tcW w:w="5345" w:type="dxa"/>
            <w:tcBorders/>
            <w:shd w:fill="FFFFFF" w:val="clear"/>
            <w:vAlign w:val="center"/>
          </w:tcPr>
          <w:p>
            <w:pPr>
              <w:pStyle w:val="TableContents"/>
              <w:bidi w:val="0"/>
              <w:spacing w:before="0" w:after="283"/>
              <w:jc w:val="left"/>
              <w:rPr>
                <w:sz w:val="20"/>
              </w:rPr>
            </w:pPr>
            <w:r>
              <w:rPr>
                <w:sz w:val="20"/>
              </w:rPr>
              <w:t>Less: beginning refund liability</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(126,797)</w:t>
            </w:r>
          </w:p>
        </w:tc>
        <w:tc>
          <w:tcPr>
            <w:tcW w:w="108" w:type="dxa"/>
            <w:tcBorders/>
            <w:shd w:fill="FFFFFF" w:val="clear"/>
            <w:vAlign w:val="center"/>
          </w:tcPr>
          <w:p>
            <w:pPr>
              <w:pStyle w:val="TableContents"/>
              <w:bidi w:val="0"/>
              <w:spacing w:before="0" w:after="283"/>
              <w:jc w:val="left"/>
              <w:rPr/>
            </w:pPr>
            <w:r>
              <w:rPr/>
              <w:t> </w:t>
            </w:r>
          </w:p>
        </w:tc>
        <w:tc>
          <w:tcPr>
            <w:tcW w:w="1820" w:type="dxa"/>
            <w:tcBorders/>
            <w:shd w:fill="FFFFFF" w:val="clear"/>
            <w:vAlign w:val="center"/>
          </w:tcPr>
          <w:p>
            <w:pPr>
              <w:pStyle w:val="TableContents"/>
              <w:bidi w:val="0"/>
              <w:spacing w:before="0" w:after="283"/>
              <w:jc w:val="right"/>
              <w:rPr/>
            </w:pPr>
            <w:r>
              <w:rPr/>
              <w:t> </w:t>
            </w:r>
            <w:r>
              <w:rPr>
                <w:sz w:val="20"/>
              </w:rPr>
              <w:t>(77,942)</w:t>
            </w:r>
          </w:p>
        </w:tc>
      </w:tr>
      <w:tr>
        <w:trPr/>
        <w:tc>
          <w:tcPr>
            <w:tcW w:w="5345" w:type="dxa"/>
            <w:tcBorders/>
            <w:shd w:fill="D5EAEA" w:val="clear"/>
            <w:vAlign w:val="center"/>
          </w:tcPr>
          <w:p>
            <w:pPr>
              <w:pStyle w:val="TableContents"/>
              <w:bidi w:val="0"/>
              <w:spacing w:before="0" w:after="283"/>
              <w:jc w:val="left"/>
              <w:rPr>
                <w:sz w:val="20"/>
              </w:rPr>
            </w:pPr>
            <w:r>
              <w:rPr>
                <w:sz w:val="20"/>
              </w:rPr>
              <w:t>Gross billings (non-GAAP)</w:t>
            </w:r>
          </w:p>
        </w:tc>
        <w:tc>
          <w:tcPr>
            <w:tcW w:w="60" w:type="dxa"/>
            <w:tcBorders/>
            <w:shd w:fill="D5EAEA" w:val="clear"/>
            <w:vAlign w:val="center"/>
          </w:tcPr>
          <w:p>
            <w:pPr>
              <w:pStyle w:val="TableContents"/>
              <w:bidi w:val="0"/>
              <w:spacing w:before="0" w:after="283"/>
              <w:jc w:val="left"/>
              <w:rPr/>
            </w:pPr>
            <w:r>
              <w:rPr/>
              <w:t> </w:t>
            </w:r>
          </w:p>
        </w:tc>
        <w:tc>
          <w:tcPr>
            <w:tcW w:w="1631"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360,256  </w:t>
            </w:r>
          </w:p>
        </w:tc>
        <w:tc>
          <w:tcPr>
            <w:tcW w:w="108" w:type="dxa"/>
            <w:tcBorders/>
            <w:shd w:fill="D5EAEA" w:val="clear"/>
            <w:vAlign w:val="center"/>
          </w:tcPr>
          <w:p>
            <w:pPr>
              <w:pStyle w:val="TableContents"/>
              <w:bidi w:val="0"/>
              <w:spacing w:before="0" w:after="283"/>
              <w:jc w:val="right"/>
              <w:rPr/>
            </w:pPr>
            <w:r>
              <w:rPr/>
              <w:t> </w:t>
            </w:r>
          </w:p>
        </w:tc>
        <w:tc>
          <w:tcPr>
            <w:tcW w:w="1820"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349,150  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pPr>
            <w:r>
              <w:rPr/>
              <w:t> </w:t>
            </w:r>
          </w:p>
        </w:tc>
      </w:tr>
      <w:tr>
        <w:trPr/>
        <w:tc>
          <w:tcPr>
            <w:tcW w:w="534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631" w:type="dxa"/>
            <w:tcBorders/>
            <w:shd w:fill="D5EAEA" w:val="clear"/>
            <w:vAlign w:val="center"/>
          </w:tcPr>
          <w:p>
            <w:pPr>
              <w:pStyle w:val="TableContents"/>
              <w:bidi w:val="0"/>
              <w:spacing w:before="0" w:after="283"/>
              <w:jc w:val="right"/>
              <w:rPr/>
            </w:pPr>
            <w:r>
              <w:rPr/>
              <w:t> </w:t>
            </w:r>
          </w:p>
        </w:tc>
        <w:tc>
          <w:tcPr>
            <w:tcW w:w="108" w:type="dxa"/>
            <w:tcBorders/>
            <w:shd w:fill="D5EAEA" w:val="clear"/>
            <w:vAlign w:val="center"/>
          </w:tcPr>
          <w:p>
            <w:pPr>
              <w:pStyle w:val="TableContents"/>
              <w:bidi w:val="0"/>
              <w:spacing w:before="0" w:after="283"/>
              <w:jc w:val="right"/>
              <w:rPr/>
            </w:pPr>
            <w:r>
              <w:rPr/>
              <w:t> </w:t>
            </w:r>
          </w:p>
        </w:tc>
        <w:tc>
          <w:tcPr>
            <w:tcW w:w="1820" w:type="dxa"/>
            <w:tcBorders/>
            <w:shd w:fill="D5EAEA" w:val="clear"/>
            <w:vAlign w:val="center"/>
          </w:tcPr>
          <w:p>
            <w:pPr>
              <w:pStyle w:val="TableContents"/>
              <w:bidi w:val="0"/>
              <w:spacing w:before="0" w:after="283"/>
              <w:jc w:val="righ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pPr>
            <w:r>
              <w:rPr/>
              <w:t> </w:t>
            </w:r>
          </w:p>
        </w:tc>
      </w:tr>
      <w:tr>
        <w:trPr/>
        <w:tc>
          <w:tcPr>
            <w:tcW w:w="5345"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63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89,289 </w:t>
            </w:r>
          </w:p>
        </w:tc>
        <w:tc>
          <w:tcPr>
            <w:tcW w:w="108" w:type="dxa"/>
            <w:tcBorders/>
            <w:shd w:fill="D5EAEA" w:val="clear"/>
            <w:vAlign w:val="center"/>
          </w:tcPr>
          <w:p>
            <w:pPr>
              <w:pStyle w:val="TableContents"/>
              <w:bidi w:val="0"/>
              <w:spacing w:before="0" w:after="283"/>
              <w:jc w:val="right"/>
              <w:rPr/>
            </w:pPr>
            <w:r>
              <w:rPr/>
              <w:t> </w:t>
            </w:r>
          </w:p>
        </w:tc>
        <w:tc>
          <w:tcPr>
            <w:tcW w:w="182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125,436  </w:t>
            </w:r>
          </w:p>
        </w:tc>
      </w:tr>
      <w:tr>
        <w:trPr/>
        <w:tc>
          <w:tcPr>
            <w:tcW w:w="5345" w:type="dxa"/>
            <w:tcBorders/>
            <w:shd w:fill="FFFFFF" w:val="clear"/>
            <w:vAlign w:val="center"/>
          </w:tcPr>
          <w:p>
            <w:pPr>
              <w:pStyle w:val="TableContents"/>
              <w:bidi w:val="0"/>
              <w:spacing w:before="0" w:after="283"/>
              <w:jc w:val="left"/>
              <w:rPr>
                <w:sz w:val="20"/>
              </w:rPr>
            </w:pPr>
            <w:r>
              <w:rPr>
                <w:sz w:val="20"/>
              </w:rPr>
              <w:t>Add: income tax (benefit)/expenses</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(6,506)</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sz w:val="20"/>
              </w:rPr>
            </w:pPr>
            <w:r>
              <w:rPr>
                <w:sz w:val="20"/>
              </w:rPr>
              <w:t>24,360  </w:t>
            </w:r>
          </w:p>
        </w:tc>
      </w:tr>
      <w:tr>
        <w:trPr/>
        <w:tc>
          <w:tcPr>
            <w:tcW w:w="5345" w:type="dxa"/>
            <w:tcBorders/>
            <w:shd w:fill="D5EAEA" w:val="clear"/>
            <w:vAlign w:val="center"/>
          </w:tcPr>
          <w:p>
            <w:pPr>
              <w:pStyle w:val="TableContents"/>
              <w:bidi w:val="0"/>
              <w:spacing w:before="0" w:after="283"/>
              <w:jc w:val="left"/>
              <w:rPr>
                <w:sz w:val="20"/>
              </w:rPr>
            </w:pPr>
            <w:r>
              <w:rPr>
                <w:sz w:val="20"/>
              </w:rPr>
              <w:t>Add: depreciation and amortization</w:t>
            </w:r>
          </w:p>
        </w:tc>
        <w:tc>
          <w:tcPr>
            <w:tcW w:w="60" w:type="dxa"/>
            <w:tcBorders/>
            <w:shd w:fill="D5EAEA" w:val="clear"/>
            <w:vAlign w:val="center"/>
          </w:tcPr>
          <w:p>
            <w:pPr>
              <w:pStyle w:val="TableContents"/>
              <w:bidi w:val="0"/>
              <w:spacing w:before="0" w:after="283"/>
              <w:jc w:val="left"/>
              <w:rPr/>
            </w:pPr>
            <w:r>
              <w:rPr/>
              <w:t> </w:t>
            </w:r>
          </w:p>
        </w:tc>
        <w:tc>
          <w:tcPr>
            <w:tcW w:w="1631" w:type="dxa"/>
            <w:tcBorders/>
            <w:shd w:fill="D5EAEA" w:val="clear"/>
            <w:vAlign w:val="center"/>
          </w:tcPr>
          <w:p>
            <w:pPr>
              <w:pStyle w:val="TableContents"/>
              <w:bidi w:val="0"/>
              <w:spacing w:before="0" w:after="283"/>
              <w:jc w:val="right"/>
              <w:rPr/>
            </w:pPr>
            <w:r>
              <w:rPr/>
              <w:t> </w:t>
            </w:r>
            <w:r>
              <w:rPr>
                <w:sz w:val="20"/>
              </w:rPr>
              <w:t xml:space="preserve">7,355 </w:t>
            </w:r>
          </w:p>
        </w:tc>
        <w:tc>
          <w:tcPr>
            <w:tcW w:w="108" w:type="dxa"/>
            <w:tcBorders/>
            <w:shd w:fill="D5EAEA" w:val="clear"/>
            <w:vAlign w:val="center"/>
          </w:tcPr>
          <w:p>
            <w:pPr>
              <w:pStyle w:val="TableContents"/>
              <w:bidi w:val="0"/>
              <w:spacing w:before="0" w:after="283"/>
              <w:jc w:val="right"/>
              <w:rPr/>
            </w:pPr>
            <w:r>
              <w:rPr/>
              <w:t> </w:t>
            </w:r>
          </w:p>
        </w:tc>
        <w:tc>
          <w:tcPr>
            <w:tcW w:w="1820" w:type="dxa"/>
            <w:tcBorders/>
            <w:shd w:fill="D5EAEA" w:val="clear"/>
            <w:vAlign w:val="center"/>
          </w:tcPr>
          <w:p>
            <w:pPr>
              <w:pStyle w:val="TableContents"/>
              <w:bidi w:val="0"/>
              <w:spacing w:before="0" w:after="283"/>
              <w:jc w:val="right"/>
              <w:rPr>
                <w:sz w:val="20"/>
              </w:rPr>
            </w:pPr>
            <w:r>
              <w:rPr>
                <w:sz w:val="20"/>
              </w:rPr>
              <w:t xml:space="preserve">7,199 </w:t>
            </w:r>
          </w:p>
        </w:tc>
      </w:tr>
      <w:tr>
        <w:trPr/>
        <w:tc>
          <w:tcPr>
            <w:tcW w:w="5345" w:type="dxa"/>
            <w:tcBorders/>
            <w:shd w:fill="FFFFFF" w:val="clear"/>
            <w:vAlign w:val="center"/>
          </w:tcPr>
          <w:p>
            <w:pPr>
              <w:pStyle w:val="TableContents"/>
              <w:bidi w:val="0"/>
              <w:spacing w:before="0" w:after="283"/>
              <w:jc w:val="left"/>
              <w:rPr>
                <w:sz w:val="20"/>
              </w:rPr>
            </w:pPr>
            <w:r>
              <w:rPr>
                <w:sz w:val="20"/>
              </w:rPr>
              <w:t>Add: interest expense</w:t>
            </w:r>
          </w:p>
        </w:tc>
        <w:tc>
          <w:tcPr>
            <w:tcW w:w="60"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pPr>
            <w:r>
              <w:rPr/>
              <w:t> </w:t>
            </w:r>
            <w:r>
              <w:rPr>
                <w:sz w:val="20"/>
              </w:rPr>
              <w:t>1,415  </w:t>
            </w:r>
          </w:p>
        </w:tc>
        <w:tc>
          <w:tcPr>
            <w:tcW w:w="108" w:type="dxa"/>
            <w:tcBorders/>
            <w:shd w:fill="FFFFFF" w:val="clear"/>
            <w:vAlign w:val="center"/>
          </w:tcPr>
          <w:p>
            <w:pPr>
              <w:pStyle w:val="TableContents"/>
              <w:bidi w:val="0"/>
              <w:spacing w:before="0" w:after="283"/>
              <w:jc w:val="right"/>
              <w:rPr/>
            </w:pPr>
            <w:r>
              <w:rPr/>
              <w:t> </w:t>
            </w:r>
          </w:p>
        </w:tc>
        <w:tc>
          <w:tcPr>
            <w:tcW w:w="1820" w:type="dxa"/>
            <w:tcBorders/>
            <w:shd w:fill="FFFFFF" w:val="clear"/>
            <w:vAlign w:val="center"/>
          </w:tcPr>
          <w:p>
            <w:pPr>
              <w:pStyle w:val="TableContents"/>
              <w:bidi w:val="0"/>
              <w:spacing w:before="0" w:after="283"/>
              <w:jc w:val="right"/>
              <w:rPr>
                <w:sz w:val="20"/>
              </w:rPr>
            </w:pPr>
            <w:r>
              <w:rPr>
                <w:sz w:val="20"/>
              </w:rPr>
              <w:t>114  </w:t>
            </w:r>
          </w:p>
        </w:tc>
      </w:tr>
      <w:tr>
        <w:trPr/>
        <w:tc>
          <w:tcPr>
            <w:tcW w:w="5345" w:type="dxa"/>
            <w:tcBorders/>
            <w:shd w:fill="D5EAEA" w:val="clear"/>
            <w:vAlign w:val="center"/>
          </w:tcPr>
          <w:p>
            <w:pPr>
              <w:pStyle w:val="TableContents"/>
              <w:bidi w:val="0"/>
              <w:spacing w:before="0" w:after="283"/>
              <w:jc w:val="left"/>
              <w:rPr>
                <w:sz w:val="20"/>
              </w:rPr>
            </w:pPr>
            <w:r>
              <w:rPr>
                <w:sz w:val="20"/>
              </w:rPr>
              <w:t>Less: interest income</w:t>
            </w:r>
          </w:p>
        </w:tc>
        <w:tc>
          <w:tcPr>
            <w:tcW w:w="60" w:type="dxa"/>
            <w:tcBorders/>
            <w:shd w:fill="D5EAEA" w:val="clear"/>
            <w:vAlign w:val="center"/>
          </w:tcPr>
          <w:p>
            <w:pPr>
              <w:pStyle w:val="TableContents"/>
              <w:bidi w:val="0"/>
              <w:spacing w:before="0" w:after="283"/>
              <w:jc w:val="left"/>
              <w:rPr/>
            </w:pPr>
            <w:r>
              <w:rPr/>
              <w:t> </w:t>
            </w:r>
          </w:p>
        </w:tc>
        <w:tc>
          <w:tcPr>
            <w:tcW w:w="163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(7,810)</w:t>
            </w:r>
          </w:p>
        </w:tc>
        <w:tc>
          <w:tcPr>
            <w:tcW w:w="108" w:type="dxa"/>
            <w:tcBorders/>
            <w:shd w:fill="D5EAEA" w:val="clear"/>
            <w:vAlign w:val="center"/>
          </w:tcPr>
          <w:p>
            <w:pPr>
              <w:pStyle w:val="TableContents"/>
              <w:bidi w:val="0"/>
              <w:spacing w:before="0" w:after="283"/>
              <w:jc w:val="right"/>
              <w:rPr/>
            </w:pPr>
            <w:r>
              <w:rPr/>
              <w:t> </w:t>
            </w:r>
          </w:p>
        </w:tc>
        <w:tc>
          <w:tcPr>
            <w:tcW w:w="1820"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(6,462) </w:t>
            </w:r>
          </w:p>
        </w:tc>
      </w:tr>
      <w:tr>
        <w:trPr/>
        <w:tc>
          <w:tcPr>
            <w:tcW w:w="5345" w:type="dxa"/>
            <w:tcBorders/>
            <w:shd w:fill="FFFFFF" w:val="clear"/>
            <w:vAlign w:val="center"/>
          </w:tcPr>
          <w:p>
            <w:pPr>
              <w:pStyle w:val="TableContents"/>
              <w:bidi w:val="0"/>
              <w:spacing w:before="0" w:after="283"/>
              <w:jc w:val="left"/>
              <w:rPr>
                <w:sz w:val="20"/>
              </w:rPr>
            </w:pPr>
            <w:r>
              <w:rPr>
                <w:sz w:val="20"/>
              </w:rPr>
              <w:t>EBITDA (non-GAAP)</w:t>
            </w:r>
          </w:p>
        </w:tc>
        <w:tc>
          <w:tcPr>
            <w:tcW w:w="60" w:type="dxa"/>
            <w:tcBorders/>
            <w:shd w:fill="FFFFFF" w:val="clear"/>
            <w:vAlign w:val="center"/>
          </w:tcPr>
          <w:p>
            <w:pPr>
              <w:pStyle w:val="TableContents"/>
              <w:bidi w:val="0"/>
              <w:spacing w:before="0" w:after="283"/>
              <w:jc w:val="left"/>
              <w:rPr/>
            </w:pPr>
            <w:r>
              <w:rPr/>
              <w:t> </w:t>
            </w:r>
          </w:p>
        </w:tc>
        <w:tc>
          <w:tcPr>
            <w:tcW w:w="1631"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sz w:val="20"/>
              </w:rPr>
              <w:t xml:space="preserve">83,743   </w:t>
            </w:r>
          </w:p>
        </w:tc>
        <w:tc>
          <w:tcPr>
            <w:tcW w:w="108" w:type="dxa"/>
            <w:tcBorders/>
            <w:shd w:fill="FFFFFF" w:val="clear"/>
            <w:vAlign w:val="center"/>
          </w:tcPr>
          <w:p>
            <w:pPr>
              <w:pStyle w:val="TableContents"/>
              <w:bidi w:val="0"/>
              <w:spacing w:before="0" w:after="283"/>
              <w:jc w:val="right"/>
              <w:rPr/>
            </w:pPr>
            <w:r>
              <w:rPr/>
              <w:t> </w:t>
            </w:r>
          </w:p>
        </w:tc>
        <w:tc>
          <w:tcPr>
            <w:tcW w:w="182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sz w:val="20"/>
              </w:rPr>
              <w:t>150,647    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482" w:type="dxa"/>
        <w:jc w:val="left"/>
        <w:tblInd w:w="0" w:type="dxa"/>
        <w:tblLayout w:type="fixed"/>
        <w:tblCellMar>
          <w:top w:w="0" w:type="dxa"/>
          <w:left w:w="0" w:type="dxa"/>
          <w:bottom w:w="0" w:type="dxa"/>
          <w:right w:w="0" w:type="dxa"/>
        </w:tblCellMar>
      </w:tblPr>
      <w:tblGrid>
        <w:gridCol w:w="4940"/>
        <w:gridCol w:w="60"/>
        <w:gridCol w:w="1104"/>
        <w:gridCol w:w="62"/>
        <w:gridCol w:w="1135"/>
        <w:gridCol w:w="62"/>
        <w:gridCol w:w="1119"/>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2"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Nine Months Ended September 30,</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2" w:type="dxa"/>
            <w:tcBorders/>
            <w:shd w:fill="FFFFFF" w:val="clear"/>
            <w:vAlign w:val="center"/>
          </w:tcPr>
          <w:p>
            <w:pPr>
              <w:pStyle w:val="TableContents"/>
              <w:bidi w:val="0"/>
              <w:spacing w:before="0" w:after="283"/>
              <w:jc w:val="center"/>
              <w:rPr/>
            </w:pPr>
            <w:r>
              <w:rPr/>
              <w:t> </w:t>
            </w:r>
          </w:p>
        </w:tc>
        <w:tc>
          <w:tcPr>
            <w:tcW w:w="2316"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center"/>
              <w:rPr>
                <w:sz w:val="20"/>
              </w:rPr>
            </w:pPr>
            <w:r>
              <w:rPr>
                <w:sz w:val="20"/>
              </w:rPr>
              <w:t>RMB</w:t>
            </w:r>
          </w:p>
        </w:tc>
        <w:tc>
          <w:tcPr>
            <w:tcW w:w="62"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center"/>
              <w:rPr>
                <w:sz w:val="20"/>
              </w:rPr>
            </w:pPr>
            <w:r>
              <w:rPr>
                <w:sz w:val="20"/>
              </w:rPr>
              <w:t>RMB</w:t>
            </w:r>
          </w:p>
        </w:tc>
        <w:tc>
          <w:tcPr>
            <w:tcW w:w="62" w:type="dxa"/>
            <w:tcBorders/>
            <w:shd w:fill="FFFFFF" w:val="clear"/>
            <w:vAlign w:val="center"/>
          </w:tcPr>
          <w:p>
            <w:pPr>
              <w:pStyle w:val="TableContents"/>
              <w:bidi w:val="0"/>
              <w:spacing w:before="0" w:after="283"/>
              <w:jc w:val="center"/>
              <w:rPr/>
            </w:pPr>
            <w:r>
              <w:rPr/>
              <w:t> </w:t>
            </w:r>
          </w:p>
        </w:tc>
        <w:tc>
          <w:tcPr>
            <w:tcW w:w="1119" w:type="dxa"/>
            <w:tcBorders/>
            <w:shd w:fill="FFFFFF" w:val="clear"/>
            <w:vAlign w:val="center"/>
          </w:tcPr>
          <w:p>
            <w:pPr>
              <w:pStyle w:val="TableContents"/>
              <w:bidi w:val="0"/>
              <w:spacing w:before="0" w:after="283"/>
              <w:jc w:val="center"/>
              <w:rPr>
                <w:sz w:val="20"/>
              </w:rPr>
            </w:pPr>
            <w:r>
              <w:rPr>
                <w:sz w:val="20"/>
              </w:rPr>
              <w:t>US$</w:t>
            </w:r>
          </w:p>
        </w:tc>
      </w:tr>
      <w:tr>
        <w:trPr/>
        <w:tc>
          <w:tcPr>
            <w:tcW w:w="4940"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1,506,727  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1,549,689  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pPr>
            <w:r>
              <w:rPr/>
              <w:t>  </w:t>
            </w:r>
            <w:r>
              <w:rPr>
                <w:sz w:val="20"/>
              </w:rPr>
              <w:t>217,684  </w:t>
            </w:r>
          </w:p>
        </w:tc>
      </w:tr>
      <w:tr>
        <w:trPr/>
        <w:tc>
          <w:tcPr>
            <w:tcW w:w="4940" w:type="dxa"/>
            <w:tcBorders/>
            <w:shd w:fill="FFFFFF" w:val="clear"/>
            <w:vAlign w:val="center"/>
          </w:tcPr>
          <w:p>
            <w:pPr>
              <w:pStyle w:val="TableContents"/>
              <w:bidi w:val="0"/>
              <w:spacing w:before="0" w:after="283"/>
              <w:jc w:val="left"/>
              <w:rPr>
                <w:sz w:val="20"/>
              </w:rPr>
            </w:pPr>
            <w:r>
              <w:rPr>
                <w:sz w:val="20"/>
              </w:rPr>
              <w:t xml:space="preserve">Cost of revenues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(235,883)</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r>
              <w:rPr>
                <w:sz w:val="20"/>
              </w:rPr>
              <w:t>(202,291)</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r>
              <w:rPr>
                <w:sz w:val="20"/>
              </w:rPr>
              <w:t>(28,416)</w:t>
            </w:r>
          </w:p>
        </w:tc>
      </w:tr>
      <w:tr>
        <w:trPr/>
        <w:tc>
          <w:tcPr>
            <w:tcW w:w="4940" w:type="dxa"/>
            <w:tcBorders/>
            <w:shd w:fill="D5EAEA" w:val="clear"/>
            <w:vAlign w:val="center"/>
          </w:tcPr>
          <w:p>
            <w:pPr>
              <w:pStyle w:val="TableContents"/>
              <w:bidi w:val="0"/>
              <w:spacing w:before="0" w:after="283"/>
              <w:jc w:val="left"/>
              <w:rPr>
                <w:sz w:val="20"/>
              </w:rPr>
            </w:pPr>
            <w:r>
              <w:rPr>
                <w:sz w:val="20"/>
              </w:rPr>
              <w:t>Gross profit</w:t>
            </w:r>
          </w:p>
        </w:tc>
        <w:tc>
          <w:tcPr>
            <w:tcW w:w="60" w:type="dxa"/>
            <w:tcBorders/>
            <w:shd w:fill="D5EAEA" w:val="clear"/>
            <w:vAlign w:val="center"/>
          </w:tcPr>
          <w:p>
            <w:pPr>
              <w:pStyle w:val="TableContents"/>
              <w:bidi w:val="0"/>
              <w:spacing w:before="0" w:after="283"/>
              <w:jc w:val="left"/>
              <w:rPr/>
            </w:pPr>
            <w:r>
              <w:rPr/>
              <w:t> </w:t>
            </w:r>
          </w:p>
        </w:tc>
        <w:tc>
          <w:tcPr>
            <w:tcW w:w="1104"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1,270,844  </w:t>
            </w:r>
          </w:p>
        </w:tc>
        <w:tc>
          <w:tcPr>
            <w:tcW w:w="62" w:type="dxa"/>
            <w:tcBorders/>
            <w:shd w:fill="D5EAEA" w:val="clear"/>
            <w:vAlign w:val="center"/>
          </w:tcPr>
          <w:p>
            <w:pPr>
              <w:pStyle w:val="TableContents"/>
              <w:bidi w:val="0"/>
              <w:spacing w:before="0" w:after="283"/>
              <w:jc w:val="right"/>
              <w:rPr/>
            </w:pPr>
            <w:r>
              <w:rPr/>
              <w:t> </w:t>
            </w:r>
          </w:p>
        </w:tc>
        <w:tc>
          <w:tcPr>
            <w:tcW w:w="113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1,347,398  </w:t>
            </w:r>
          </w:p>
        </w:tc>
        <w:tc>
          <w:tcPr>
            <w:tcW w:w="62" w:type="dxa"/>
            <w:tcBorders/>
            <w:shd w:fill="D5EAEA" w:val="clear"/>
            <w:vAlign w:val="center"/>
          </w:tcPr>
          <w:p>
            <w:pPr>
              <w:pStyle w:val="TableContents"/>
              <w:bidi w:val="0"/>
              <w:spacing w:before="0" w:after="283"/>
              <w:jc w:val="right"/>
              <w:rPr/>
            </w:pPr>
            <w:r>
              <w:rPr/>
              <w:t> </w:t>
            </w:r>
          </w:p>
        </w:tc>
        <w:tc>
          <w:tcPr>
            <w:tcW w:w="1119"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189,268  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Operating expenses</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(902,065)</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r>
              <w:rPr>
                <w:sz w:val="20"/>
              </w:rPr>
              <w:t>(882,696)</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ind w:left="0" w:right="0" w:firstLine="180"/>
              <w:jc w:val="right"/>
              <w:rPr/>
            </w:pPr>
            <w:r>
              <w:rPr/>
              <w:t> </w:t>
            </w:r>
            <w:r>
              <w:rPr>
                <w:sz w:val="20"/>
              </w:rPr>
              <w:t>(123,992)</w:t>
            </w:r>
          </w:p>
        </w:tc>
      </w:tr>
      <w:tr>
        <w:trPr/>
        <w:tc>
          <w:tcPr>
            <w:tcW w:w="4940" w:type="dxa"/>
            <w:tcBorders/>
            <w:shd w:fill="D5EAEA" w:val="clear"/>
            <w:vAlign w:val="center"/>
          </w:tcPr>
          <w:p>
            <w:pPr>
              <w:pStyle w:val="TableContents"/>
              <w:bidi w:val="0"/>
              <w:spacing w:before="0" w:after="283"/>
              <w:jc w:val="left"/>
              <w:rPr>
                <w:sz w:val="20"/>
              </w:rPr>
            </w:pPr>
            <w:r>
              <w:rPr>
                <w:sz w:val="20"/>
              </w:rPr>
              <w:t>Product development expenses</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(20,516)</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(21,859)</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ind w:left="0" w:right="0" w:firstLine="180"/>
              <w:jc w:val="right"/>
              <w:rPr/>
            </w:pPr>
            <w:r>
              <w:rPr/>
              <w:t> </w:t>
            </w:r>
            <w:r>
              <w:rPr>
                <w:sz w:val="20"/>
              </w:rPr>
              <w:t>(3,071)</w:t>
            </w:r>
          </w:p>
        </w:tc>
      </w:tr>
      <w:tr>
        <w:trPr/>
        <w:tc>
          <w:tcPr>
            <w:tcW w:w="494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(100,853)</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r>
              <w:rPr>
                <w:sz w:val="20"/>
              </w:rPr>
              <w:t>(103,565)</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r>
              <w:rPr>
                <w:sz w:val="20"/>
              </w:rPr>
              <w:t>(14,548)</w:t>
            </w:r>
          </w:p>
        </w:tc>
      </w:tr>
      <w:tr>
        <w:trPr/>
        <w:tc>
          <w:tcPr>
            <w:tcW w:w="4940" w:type="dxa"/>
            <w:tcBorders/>
            <w:shd w:fill="D5EAEA" w:val="clear"/>
            <w:vAlign w:val="center"/>
          </w:tcPr>
          <w:p>
            <w:pPr>
              <w:pStyle w:val="TableContents"/>
              <w:bidi w:val="0"/>
              <w:spacing w:before="0" w:after="283"/>
              <w:jc w:val="left"/>
              <w:rPr>
                <w:sz w:val="20"/>
              </w:rPr>
            </w:pPr>
            <w:r>
              <w:rPr>
                <w:sz w:val="20"/>
              </w:rPr>
              <w:t>Total operating expenses</w:t>
            </w:r>
          </w:p>
        </w:tc>
        <w:tc>
          <w:tcPr>
            <w:tcW w:w="60" w:type="dxa"/>
            <w:tcBorders/>
            <w:shd w:fill="D5EAEA" w:val="clear"/>
            <w:vAlign w:val="center"/>
          </w:tcPr>
          <w:p>
            <w:pPr>
              <w:pStyle w:val="TableContents"/>
              <w:bidi w:val="0"/>
              <w:spacing w:before="0" w:after="283"/>
              <w:jc w:val="left"/>
              <w:rPr/>
            </w:pPr>
            <w:r>
              <w:rPr/>
              <w:t> </w:t>
            </w:r>
          </w:p>
        </w:tc>
        <w:tc>
          <w:tcPr>
            <w:tcW w:w="1104"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(1,023,434)</w:t>
            </w:r>
          </w:p>
        </w:tc>
        <w:tc>
          <w:tcPr>
            <w:tcW w:w="62" w:type="dxa"/>
            <w:tcBorders/>
            <w:shd w:fill="D5EAEA" w:val="clear"/>
            <w:vAlign w:val="center"/>
          </w:tcPr>
          <w:p>
            <w:pPr>
              <w:pStyle w:val="TableContents"/>
              <w:bidi w:val="0"/>
              <w:spacing w:before="0" w:after="283"/>
              <w:jc w:val="right"/>
              <w:rPr/>
            </w:pPr>
            <w:r>
              <w:rPr/>
              <w:t> </w:t>
            </w:r>
          </w:p>
        </w:tc>
        <w:tc>
          <w:tcPr>
            <w:tcW w:w="113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(1,008,120)</w:t>
            </w:r>
          </w:p>
        </w:tc>
        <w:tc>
          <w:tcPr>
            <w:tcW w:w="62" w:type="dxa"/>
            <w:tcBorders/>
            <w:shd w:fill="D5EAEA" w:val="clear"/>
            <w:vAlign w:val="center"/>
          </w:tcPr>
          <w:p>
            <w:pPr>
              <w:pStyle w:val="TableContents"/>
              <w:bidi w:val="0"/>
              <w:spacing w:before="0" w:after="283"/>
              <w:jc w:val="right"/>
              <w:rPr/>
            </w:pPr>
            <w:r>
              <w:rPr/>
              <w:t> </w:t>
            </w:r>
          </w:p>
        </w:tc>
        <w:tc>
          <w:tcPr>
            <w:tcW w:w="1119"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(141,611)</w:t>
            </w:r>
          </w:p>
        </w:tc>
      </w:tr>
      <w:tr>
        <w:trPr/>
        <w:tc>
          <w:tcPr>
            <w:tcW w:w="4940"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247,410  </w:t>
            </w:r>
          </w:p>
        </w:tc>
        <w:tc>
          <w:tcPr>
            <w:tcW w:w="62" w:type="dxa"/>
            <w:tcBorders/>
            <w:shd w:fill="FFFFFF" w:val="clear"/>
            <w:vAlign w:val="center"/>
          </w:tcPr>
          <w:p>
            <w:pPr>
              <w:pStyle w:val="TableContents"/>
              <w:bidi w:val="0"/>
              <w:spacing w:before="0" w:after="283"/>
              <w:jc w:val="righ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339,278  </w:t>
            </w:r>
          </w:p>
        </w:tc>
        <w:tc>
          <w:tcPr>
            <w:tcW w:w="62" w:type="dxa"/>
            <w:tcBorders/>
            <w:shd w:fill="FFFFFF" w:val="clear"/>
            <w:vAlign w:val="center"/>
          </w:tcPr>
          <w:p>
            <w:pPr>
              <w:pStyle w:val="TableContents"/>
              <w:bidi w:val="0"/>
              <w:spacing w:before="0" w:after="283"/>
              <w:jc w:val="righ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47,657  </w:t>
            </w:r>
          </w:p>
        </w:tc>
      </w:tr>
      <w:tr>
        <w:trPr/>
        <w:tc>
          <w:tcPr>
            <w:tcW w:w="4940" w:type="dxa"/>
            <w:tcBorders/>
            <w:shd w:fill="D5EAEA" w:val="clear"/>
            <w:vAlign w:val="center"/>
          </w:tcPr>
          <w:p>
            <w:pPr>
              <w:pStyle w:val="TableContents"/>
              <w:bidi w:val="0"/>
              <w:spacing w:before="0" w:after="283"/>
              <w:jc w:val="left"/>
              <w:rPr>
                <w:sz w:val="20"/>
              </w:rPr>
            </w:pPr>
            <w:r>
              <w:rPr>
                <w:sz w:val="20"/>
              </w:rPr>
              <w:t>Interest income</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27,675  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18,603  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pPr>
            <w:r>
              <w:rPr/>
              <w:t>  </w:t>
            </w:r>
            <w:r>
              <w:rPr>
                <w:sz w:val="20"/>
              </w:rPr>
              <w:t>2,613  </w:t>
            </w:r>
          </w:p>
        </w:tc>
      </w:tr>
      <w:tr>
        <w:trPr/>
        <w:tc>
          <w:tcPr>
            <w:tcW w:w="494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(4,535)</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r>
              <w:rPr>
                <w:sz w:val="20"/>
              </w:rPr>
              <w:t>(794)</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r>
              <w:rPr>
                <w:sz w:val="20"/>
              </w:rPr>
              <w:t>(112)</w:t>
            </w:r>
          </w:p>
        </w:tc>
      </w:tr>
      <w:tr>
        <w:trPr/>
        <w:tc>
          <w:tcPr>
            <w:tcW w:w="4940" w:type="dxa"/>
            <w:tcBorders/>
            <w:shd w:fill="D5EAEA" w:val="clear"/>
            <w:vAlign w:val="center"/>
          </w:tcPr>
          <w:p>
            <w:pPr>
              <w:pStyle w:val="TableContents"/>
              <w:bidi w:val="0"/>
              <w:spacing w:before="0" w:after="283"/>
              <w:jc w:val="left"/>
              <w:rPr>
                <w:sz w:val="20"/>
              </w:rPr>
            </w:pPr>
            <w:r>
              <w:rPr>
                <w:sz w:val="20"/>
              </w:rPr>
              <w:t>Other income, net</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19,238  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 xml:space="preserve">22,180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pPr>
            <w:r>
              <w:rPr/>
              <w:t>  </w:t>
            </w:r>
            <w:r>
              <w:rPr>
                <w:sz w:val="20"/>
              </w:rPr>
              <w:t>3,116  </w:t>
            </w:r>
          </w:p>
        </w:tc>
      </w:tr>
      <w:tr>
        <w:trPr/>
        <w:tc>
          <w:tcPr>
            <w:tcW w:w="4940" w:type="dxa"/>
            <w:tcBorders/>
            <w:shd w:fill="FFFFFF" w:val="clear"/>
            <w:vAlign w:val="center"/>
          </w:tcPr>
          <w:p>
            <w:pPr>
              <w:pStyle w:val="TableContents"/>
              <w:bidi w:val="0"/>
              <w:spacing w:before="0" w:after="283"/>
              <w:jc w:val="left"/>
              <w:rPr>
                <w:sz w:val="20"/>
              </w:rPr>
            </w:pPr>
            <w:r>
              <w:rPr>
                <w:sz w:val="20"/>
              </w:rPr>
              <w:t>Loss on disposal of subsidiaries</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(838)</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sz w:val="20"/>
              </w:rPr>
            </w:pPr>
            <w:r>
              <w:rPr>
                <w:sz w:val="20"/>
              </w:rPr>
              <w:t>-</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sz w:val="20"/>
              </w:rPr>
            </w:pPr>
            <w:r>
              <w:rPr>
                <w:sz w:val="20"/>
              </w:rPr>
              <w:t>-</w:t>
            </w:r>
          </w:p>
        </w:tc>
      </w:tr>
      <w:tr>
        <w:trPr/>
        <w:tc>
          <w:tcPr>
            <w:tcW w:w="4940" w:type="dxa"/>
            <w:tcBorders/>
            <w:shd w:fill="D5EAEA"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benefit/(expenses)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D5EAEA" w:val="clear"/>
            <w:vAlign w:val="center"/>
          </w:tcPr>
          <w:p>
            <w:pPr>
              <w:pStyle w:val="TableContents"/>
              <w:bidi w:val="0"/>
              <w:spacing w:before="0" w:after="283"/>
              <w:jc w:val="left"/>
              <w:rPr/>
            </w:pPr>
            <w:r>
              <w:rPr/>
              <w:t> </w:t>
            </w:r>
          </w:p>
        </w:tc>
        <w:tc>
          <w:tcPr>
            <w:tcW w:w="1104"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35"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19" w:type="dxa"/>
            <w:tcBorders>
              <w:top w:val="single" w:sz="8" w:space="0" w:color="000000"/>
            </w:tcBorders>
            <w:shd w:fill="D5EAEA" w:val="clear"/>
            <w:tcMar>
              <w:top w:w="28" w:type="dxa"/>
            </w:tcM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and loss from equity method investments</w:t>
            </w:r>
          </w:p>
        </w:tc>
        <w:tc>
          <w:tcPr>
            <w:tcW w:w="60" w:type="dxa"/>
            <w:tcBorders/>
            <w:shd w:fill="FFFFFF" w:val="cle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288,950  </w:t>
            </w:r>
          </w:p>
        </w:tc>
        <w:tc>
          <w:tcPr>
            <w:tcW w:w="62" w:type="dxa"/>
            <w:tcBorders/>
            <w:shd w:fill="FFFFFF" w:val="clear"/>
            <w:vAlign w:val="center"/>
          </w:tcPr>
          <w:p>
            <w:pPr>
              <w:pStyle w:val="TableContents"/>
              <w:bidi w:val="0"/>
              <w:spacing w:before="0" w:after="283"/>
              <w:jc w:val="righ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379,267  </w:t>
            </w:r>
          </w:p>
        </w:tc>
        <w:tc>
          <w:tcPr>
            <w:tcW w:w="62" w:type="dxa"/>
            <w:tcBorders/>
            <w:shd w:fill="FFFFFF" w:val="clear"/>
            <w:vAlign w:val="center"/>
          </w:tcPr>
          <w:p>
            <w:pPr>
              <w:pStyle w:val="TableContents"/>
              <w:bidi w:val="0"/>
              <w:spacing w:before="0" w:after="283"/>
              <w:jc w:val="righ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53,274  </w:t>
            </w:r>
          </w:p>
        </w:tc>
      </w:tr>
      <w:tr>
        <w:trPr/>
        <w:tc>
          <w:tcPr>
            <w:tcW w:w="4940" w:type="dxa"/>
            <w:tcBorders/>
            <w:shd w:fill="D5EAEA" w:val="clear"/>
            <w:vAlign w:val="center"/>
          </w:tcPr>
          <w:p>
            <w:pPr>
              <w:pStyle w:val="TableContents"/>
              <w:bidi w:val="0"/>
              <w:spacing w:before="0" w:after="283"/>
              <w:jc w:val="left"/>
              <w:rPr>
                <w:sz w:val="20"/>
              </w:rPr>
            </w:pPr>
            <w:r>
              <w:rPr>
                <w:sz w:val="20"/>
              </w:rPr>
              <w:t>Income tax benefit/(expenses)</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6,975  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(47,684)</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pPr>
            <w:r>
              <w:rPr/>
              <w:t>  </w:t>
            </w:r>
            <w:r>
              <w:rPr>
                <w:sz w:val="20"/>
              </w:rPr>
              <w:t>(6,698)</w:t>
            </w:r>
          </w:p>
        </w:tc>
      </w:tr>
      <w:tr>
        <w:trPr/>
        <w:tc>
          <w:tcPr>
            <w:tcW w:w="4940" w:type="dxa"/>
            <w:tcBorders/>
            <w:shd w:fill="FFFFFF" w:val="clear"/>
            <w:vAlign w:val="center"/>
          </w:tcPr>
          <w:p>
            <w:pPr>
              <w:pStyle w:val="TableContents"/>
              <w:bidi w:val="0"/>
              <w:spacing w:before="0" w:after="283"/>
              <w:jc w:val="left"/>
              <w:rPr>
                <w:sz w:val="20"/>
              </w:rPr>
            </w:pPr>
            <w:r>
              <w:rPr>
                <w:sz w:val="20"/>
              </w:rPr>
              <w:t>Loss from equity method investments</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r>
              <w:rPr>
                <w:sz w:val="20"/>
              </w:rPr>
              <w:t>(11,649)</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r>
              <w:rPr>
                <w:sz w:val="20"/>
              </w:rPr>
              <w:t>(4,326)</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r>
              <w:rPr>
                <w:sz w:val="20"/>
              </w:rPr>
              <w:t>(608)</w:t>
            </w:r>
          </w:p>
        </w:tc>
      </w:tr>
      <w:tr>
        <w:trPr/>
        <w:tc>
          <w:tcPr>
            <w:tcW w:w="49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104"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284,276  </w:t>
            </w:r>
          </w:p>
        </w:tc>
        <w:tc>
          <w:tcPr>
            <w:tcW w:w="62" w:type="dxa"/>
            <w:tcBorders/>
            <w:shd w:fill="D5EAEA" w:val="clear"/>
            <w:vAlign w:val="center"/>
          </w:tcPr>
          <w:p>
            <w:pPr>
              <w:pStyle w:val="TableContents"/>
              <w:bidi w:val="0"/>
              <w:spacing w:before="0" w:after="283"/>
              <w:jc w:val="right"/>
              <w:rPr/>
            </w:pPr>
            <w:r>
              <w:rPr/>
              <w:t> </w:t>
            </w:r>
          </w:p>
        </w:tc>
        <w:tc>
          <w:tcPr>
            <w:tcW w:w="1135"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327,257  </w:t>
            </w:r>
          </w:p>
        </w:tc>
        <w:tc>
          <w:tcPr>
            <w:tcW w:w="62" w:type="dxa"/>
            <w:tcBorders/>
            <w:shd w:fill="D5EAEA" w:val="clear"/>
            <w:vAlign w:val="center"/>
          </w:tcPr>
          <w:p>
            <w:pPr>
              <w:pStyle w:val="TableContents"/>
              <w:bidi w:val="0"/>
              <w:spacing w:before="0" w:after="283"/>
              <w:jc w:val="right"/>
              <w:rPr/>
            </w:pPr>
            <w:r>
              <w:rPr/>
              <w:t> </w:t>
            </w:r>
          </w:p>
        </w:tc>
        <w:tc>
          <w:tcPr>
            <w:tcW w:w="1119"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 xml:space="preserve">45,968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Less: Net loss attributable to non-controlling interest</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sz w:val="20"/>
              </w:rPr>
            </w:pPr>
            <w:r>
              <w:rPr>
                <w:sz w:val="20"/>
              </w:rPr>
              <w:t>-</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sz w:val="20"/>
              </w:rPr>
            </w:pPr>
            <w:r>
              <w:rPr>
                <w:sz w:val="20"/>
              </w:rPr>
              <w:t>-</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sz w:val="20"/>
              </w:rPr>
            </w:pPr>
            <w:r>
              <w:rPr>
                <w:sz w:val="20"/>
              </w:rPr>
              <w:t>-</w:t>
            </w:r>
          </w:p>
        </w:tc>
      </w:tr>
      <w:tr>
        <w:trPr/>
        <w:tc>
          <w:tcPr>
            <w:tcW w:w="4940" w:type="dxa"/>
            <w:tcBorders/>
            <w:shd w:fill="FFFFFF" w:val="clear"/>
            <w:vAlign w:val="center"/>
          </w:tcPr>
          <w:p>
            <w:pPr>
              <w:pStyle w:val="TableContents"/>
              <w:bidi w:val="0"/>
              <w:spacing w:before="0" w:after="283"/>
              <w:jc w:val="left"/>
              <w:rPr>
                <w:sz w:val="20"/>
              </w:rPr>
            </w:pPr>
            <w:r>
              <w:rPr>
                <w:sz w:val="20"/>
              </w:rPr>
              <w:t>Net income attributable to Sunlands Technology Group</w:t>
            </w:r>
          </w:p>
        </w:tc>
        <w:tc>
          <w:tcPr>
            <w:tcW w:w="60" w:type="dxa"/>
            <w:tcBorders/>
            <w:shd w:fill="FFFFFF" w:val="clear"/>
            <w:vAlign w:val="center"/>
          </w:tcPr>
          <w:p>
            <w:pPr>
              <w:pStyle w:val="TableContents"/>
              <w:bidi w:val="0"/>
              <w:spacing w:before="0" w:after="283"/>
              <w:jc w:val="left"/>
              <w:rPr/>
            </w:pPr>
            <w:r>
              <w:rPr/>
              <w:t> </w:t>
            </w:r>
          </w:p>
        </w:tc>
        <w:tc>
          <w:tcPr>
            <w:tcW w:w="110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 xml:space="preserve">284,276 </w:t>
            </w:r>
          </w:p>
        </w:tc>
        <w:tc>
          <w:tcPr>
            <w:tcW w:w="62" w:type="dxa"/>
            <w:tcBorders/>
            <w:shd w:fill="FFFFFF" w:val="clear"/>
            <w:vAlign w:val="center"/>
          </w:tcPr>
          <w:p>
            <w:pPr>
              <w:pStyle w:val="TableContents"/>
              <w:bidi w:val="0"/>
              <w:spacing w:before="0" w:after="283"/>
              <w:jc w:val="right"/>
              <w:rPr/>
            </w:pPr>
            <w:r>
              <w:rPr/>
              <w:t> </w:t>
            </w:r>
          </w:p>
        </w:tc>
        <w:tc>
          <w:tcPr>
            <w:tcW w:w="113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 xml:space="preserve">327,257 </w:t>
            </w:r>
          </w:p>
        </w:tc>
        <w:tc>
          <w:tcPr>
            <w:tcW w:w="62" w:type="dxa"/>
            <w:tcBorders/>
            <w:shd w:fill="FFFFFF" w:val="clear"/>
            <w:vAlign w:val="center"/>
          </w:tcPr>
          <w:p>
            <w:pPr>
              <w:pStyle w:val="TableContents"/>
              <w:bidi w:val="0"/>
              <w:spacing w:before="0" w:after="283"/>
              <w:jc w:val="right"/>
              <w:rPr/>
            </w:pPr>
            <w:r>
              <w:rPr/>
              <w:t> </w:t>
            </w:r>
          </w:p>
        </w:tc>
        <w:tc>
          <w:tcPr>
            <w:tcW w:w="111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45,968  </w:t>
            </w:r>
          </w:p>
        </w:tc>
      </w:tr>
      <w:tr>
        <w:trPr/>
        <w:tc>
          <w:tcPr>
            <w:tcW w:w="4940" w:type="dxa"/>
            <w:tcBorders/>
            <w:shd w:fill="D5EAEA" w:val="clear"/>
            <w:vAlign w:val="center"/>
          </w:tcPr>
          <w:p>
            <w:pPr>
              <w:pStyle w:val="TableContents"/>
              <w:bidi w:val="0"/>
              <w:spacing w:before="0" w:after="283"/>
              <w:jc w:val="left"/>
              <w:rPr>
                <w:sz w:val="20"/>
              </w:rPr>
            </w:pPr>
            <w:r>
              <w:rPr>
                <w:sz w:val="20"/>
              </w:rPr>
              <w:t>Net income per share attributable to ordinary shareholders of</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Sunlands Technology Group:</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Basic and diluted</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r>
              <w:rPr>
                <w:sz w:val="20"/>
              </w:rPr>
              <w:t xml:space="preserve">41.52  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r>
              <w:rPr>
                <w:sz w:val="20"/>
              </w:rPr>
              <w:t xml:space="preserve">48.50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jc w:val="right"/>
              <w:rPr/>
            </w:pPr>
            <w:r>
              <w:rPr/>
              <w:t>  </w:t>
            </w:r>
            <w:r>
              <w:rPr>
                <w:sz w:val="20"/>
              </w:rPr>
              <w:t>6.81  </w:t>
            </w:r>
          </w:p>
        </w:tc>
      </w:tr>
      <w:tr>
        <w:trPr/>
        <w:tc>
          <w:tcPr>
            <w:tcW w:w="4940" w:type="dxa"/>
            <w:tcBorders/>
            <w:shd w:fill="FFFFFF" w:val="clear"/>
            <w:vAlign w:val="center"/>
          </w:tcPr>
          <w:p>
            <w:pPr>
              <w:pStyle w:val="TableContents"/>
              <w:bidi w:val="0"/>
              <w:spacing w:before="0" w:after="283"/>
              <w:jc w:val="left"/>
              <w:rPr>
                <w:sz w:val="20"/>
              </w:rPr>
            </w:pPr>
            <w:r>
              <w:rPr>
                <w:sz w:val="20"/>
              </w:rPr>
              <w:t xml:space="preserve">Weighted average shares used in calculating net income </w:t>
            </w:r>
          </w:p>
        </w:tc>
        <w:tc>
          <w:tcPr>
            <w:tcW w:w="6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35"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right"/>
              <w:rPr/>
            </w:pPr>
            <w:r>
              <w:rPr/>
              <w:t> </w:t>
            </w:r>
          </w:p>
        </w:tc>
        <w:tc>
          <w:tcPr>
            <w:tcW w:w="1119"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per ordinary share:</w:t>
            </w:r>
          </w:p>
        </w:tc>
        <w:tc>
          <w:tcPr>
            <w:tcW w:w="60" w:type="dxa"/>
            <w:tcBorders/>
            <w:shd w:fill="D5EAEA" w:val="clear"/>
            <w:vAlign w:val="center"/>
          </w:tcPr>
          <w:p>
            <w:pPr>
              <w:pStyle w:val="TableContents"/>
              <w:bidi w:val="0"/>
              <w:spacing w:before="0" w:after="283"/>
              <w:jc w:val="left"/>
              <w:rPr/>
            </w:pPr>
            <w:r>
              <w:rPr/>
              <w:t> </w:t>
            </w:r>
          </w:p>
        </w:tc>
        <w:tc>
          <w:tcPr>
            <w:tcW w:w="1104"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35" w:type="dxa"/>
            <w:tcBorders/>
            <w:shd w:fill="D5EAEA" w:val="clear"/>
            <w:vAlign w:val="center"/>
          </w:tcPr>
          <w:p>
            <w:pPr>
              <w:pStyle w:val="TableContents"/>
              <w:bidi w:val="0"/>
              <w:spacing w:before="0" w:after="283"/>
              <w:jc w:val="right"/>
              <w:rPr/>
            </w:pPr>
            <w:r>
              <w:rPr/>
              <w:t> </w:t>
            </w:r>
          </w:p>
        </w:tc>
        <w:tc>
          <w:tcPr>
            <w:tcW w:w="62" w:type="dxa"/>
            <w:tcBorders/>
            <w:shd w:fill="D5EAEA" w:val="clear"/>
            <w:vAlign w:val="center"/>
          </w:tcPr>
          <w:p>
            <w:pPr>
              <w:pStyle w:val="TableContents"/>
              <w:bidi w:val="0"/>
              <w:spacing w:before="0" w:after="283"/>
              <w:jc w:val="right"/>
              <w:rPr/>
            </w:pPr>
            <w:r>
              <w:rPr/>
              <w:t> </w:t>
            </w:r>
          </w:p>
        </w:tc>
        <w:tc>
          <w:tcPr>
            <w:tcW w:w="1119"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 xml:space="preserve">6,846,146 </w:t>
            </w:r>
          </w:p>
        </w:tc>
        <w:tc>
          <w:tcPr>
            <w:tcW w:w="62" w:type="dxa"/>
            <w:tcBorders/>
            <w:shd w:fill="FFFFFF" w:val="clear"/>
            <w:vAlign w:val="center"/>
          </w:tcPr>
          <w:p>
            <w:pPr>
              <w:pStyle w:val="TableContents"/>
              <w:bidi w:val="0"/>
              <w:spacing w:before="0" w:after="283"/>
              <w:jc w:val="righ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6,747,844  </w:t>
            </w:r>
          </w:p>
        </w:tc>
        <w:tc>
          <w:tcPr>
            <w:tcW w:w="62" w:type="dxa"/>
            <w:tcBorders/>
            <w:shd w:fill="FFFFFF" w:val="clear"/>
            <w:vAlign w:val="center"/>
          </w:tcPr>
          <w:p>
            <w:pPr>
              <w:pStyle w:val="TableContents"/>
              <w:bidi w:val="0"/>
              <w:spacing w:before="0" w:after="283"/>
              <w:jc w:val="right"/>
              <w:rPr/>
            </w:pPr>
            <w:r>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6,747,844  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5840"/>
        <w:gridCol w:w="60"/>
        <w:gridCol w:w="1089"/>
        <w:gridCol w:w="72"/>
        <w:gridCol w:w="1215"/>
        <w:gridCol w:w="72"/>
        <w:gridCol w:w="1035"/>
      </w:tblGrid>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3"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Nine Months Ended September 30,</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72" w:type="dxa"/>
            <w:tcBorders/>
            <w:shd w:fill="FFFFFF" w:val="clear"/>
            <w:vAlign w:val="center"/>
          </w:tcPr>
          <w:p>
            <w:pPr>
              <w:pStyle w:val="TableContents"/>
              <w:bidi w:val="0"/>
              <w:spacing w:before="0" w:after="283"/>
              <w:jc w:val="center"/>
              <w:rPr/>
            </w:pPr>
            <w:r>
              <w:rPr/>
              <w:t> </w:t>
            </w:r>
          </w:p>
        </w:tc>
        <w:tc>
          <w:tcPr>
            <w:tcW w:w="2322"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center"/>
              <w:rPr>
                <w:sz w:val="20"/>
              </w:rPr>
            </w:pPr>
            <w:r>
              <w:rPr>
                <w:sz w:val="20"/>
              </w:rPr>
              <w:t>RMB</w:t>
            </w:r>
          </w:p>
        </w:tc>
        <w:tc>
          <w:tcPr>
            <w:tcW w:w="72"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center"/>
              <w:rPr>
                <w:sz w:val="20"/>
              </w:rPr>
            </w:pPr>
            <w:r>
              <w:rPr>
                <w:sz w:val="20"/>
              </w:rPr>
              <w:t>RMB</w:t>
            </w:r>
          </w:p>
        </w:tc>
        <w:tc>
          <w:tcPr>
            <w:tcW w:w="72" w:type="dxa"/>
            <w:tcBorders/>
            <w:shd w:fill="FFFFFF" w:val="clear"/>
            <w:vAlign w:val="center"/>
          </w:tcPr>
          <w:p>
            <w:pPr>
              <w:pStyle w:val="TableContents"/>
              <w:bidi w:val="0"/>
              <w:spacing w:before="0" w:after="283"/>
              <w:jc w:val="center"/>
              <w:rPr/>
            </w:pPr>
            <w:r>
              <w:rPr/>
              <w:t> </w:t>
            </w:r>
          </w:p>
        </w:tc>
        <w:tc>
          <w:tcPr>
            <w:tcW w:w="1035" w:type="dxa"/>
            <w:tcBorders/>
            <w:shd w:fill="FFFFFF" w:val="clear"/>
            <w:vAlign w:val="center"/>
          </w:tcPr>
          <w:p>
            <w:pPr>
              <w:pStyle w:val="TableContents"/>
              <w:bidi w:val="0"/>
              <w:spacing w:before="0" w:after="283"/>
              <w:jc w:val="center"/>
              <w:rPr>
                <w:sz w:val="20"/>
              </w:rPr>
            </w:pPr>
            <w:r>
              <w:rPr>
                <w:sz w:val="20"/>
              </w:rPr>
              <w:t>US$</w:t>
            </w:r>
          </w:p>
        </w:tc>
      </w:tr>
      <w:tr>
        <w:trPr/>
        <w:tc>
          <w:tcPr>
            <w:tcW w:w="58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089" w:type="dxa"/>
            <w:tcBorders/>
            <w:shd w:fill="D5EAEA" w:val="clear"/>
            <w:vAlign w:val="center"/>
          </w:tcPr>
          <w:p>
            <w:pPr>
              <w:pStyle w:val="TableContents"/>
              <w:bidi w:val="0"/>
              <w:spacing w:before="0" w:after="283"/>
              <w:jc w:val="right"/>
              <w:rPr/>
            </w:pPr>
            <w:r>
              <w:rPr/>
              <w:t>  </w:t>
            </w:r>
            <w:r>
              <w:rPr>
                <w:sz w:val="20"/>
              </w:rPr>
              <w:t>284,276  </w:t>
            </w:r>
          </w:p>
        </w:tc>
        <w:tc>
          <w:tcPr>
            <w:tcW w:w="72" w:type="dxa"/>
            <w:tcBorders/>
            <w:shd w:fill="D5EAEA" w:val="clear"/>
            <w:vAlign w:val="center"/>
          </w:tcPr>
          <w:p>
            <w:pPr>
              <w:pStyle w:val="TableContents"/>
              <w:bidi w:val="0"/>
              <w:spacing w:before="0" w:after="283"/>
              <w:jc w:val="right"/>
              <w:rPr/>
            </w:pPr>
            <w:r>
              <w:rPr/>
              <w:t> </w:t>
            </w:r>
          </w:p>
        </w:tc>
        <w:tc>
          <w:tcPr>
            <w:tcW w:w="1215" w:type="dxa"/>
            <w:tcBorders/>
            <w:shd w:fill="D5EAEA" w:val="clear"/>
            <w:vAlign w:val="center"/>
          </w:tcPr>
          <w:p>
            <w:pPr>
              <w:pStyle w:val="TableContents"/>
              <w:bidi w:val="0"/>
              <w:spacing w:before="0" w:after="283"/>
              <w:jc w:val="right"/>
              <w:rPr/>
            </w:pPr>
            <w:r>
              <w:rPr/>
              <w:t>  </w:t>
            </w:r>
            <w:r>
              <w:rPr>
                <w:sz w:val="20"/>
              </w:rPr>
              <w:t xml:space="preserve">327,257   </w:t>
            </w:r>
          </w:p>
        </w:tc>
        <w:tc>
          <w:tcPr>
            <w:tcW w:w="72" w:type="dxa"/>
            <w:tcBorders/>
            <w:shd w:fill="D5EAEA" w:val="clear"/>
            <w:vAlign w:val="center"/>
          </w:tcPr>
          <w:p>
            <w:pPr>
              <w:pStyle w:val="TableContents"/>
              <w:bidi w:val="0"/>
              <w:spacing w:before="0" w:after="283"/>
              <w:jc w:val="right"/>
              <w:rPr/>
            </w:pPr>
            <w:r>
              <w:rPr/>
              <w:t> </w:t>
            </w:r>
          </w:p>
        </w:tc>
        <w:tc>
          <w:tcPr>
            <w:tcW w:w="1035" w:type="dxa"/>
            <w:tcBorders/>
            <w:shd w:fill="D5EAEA" w:val="clear"/>
            <w:vAlign w:val="center"/>
          </w:tcPr>
          <w:p>
            <w:pPr>
              <w:pStyle w:val="TableContents"/>
              <w:bidi w:val="0"/>
              <w:spacing w:before="0" w:after="283"/>
              <w:jc w:val="right"/>
              <w:rPr/>
            </w:pPr>
            <w:r>
              <w:rPr/>
              <w:t>  </w:t>
            </w:r>
            <w:r>
              <w:rPr>
                <w:sz w:val="20"/>
              </w:rPr>
              <w:t>45,968  </w:t>
            </w:r>
          </w:p>
        </w:tc>
      </w:tr>
      <w:tr>
        <w:trPr/>
        <w:tc>
          <w:tcPr>
            <w:tcW w:w="5840" w:type="dxa"/>
            <w:tcBorders/>
            <w:shd w:fill="FFFFFF" w:val="clear"/>
            <w:vAlign w:val="center"/>
          </w:tcPr>
          <w:p>
            <w:pPr>
              <w:pStyle w:val="TableContents"/>
              <w:bidi w:val="0"/>
              <w:spacing w:before="0" w:after="283"/>
              <w:jc w:val="left"/>
              <w:rPr>
                <w:sz w:val="20"/>
              </w:rPr>
            </w:pPr>
            <w:r>
              <w:rPr>
                <w:sz w:val="20"/>
              </w:rPr>
              <w:t>Other comprehensive (loss)/income, net of tax effect of nil:</w:t>
            </w:r>
          </w:p>
        </w:tc>
        <w:tc>
          <w:tcPr>
            <w:tcW w:w="6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right"/>
              <w:rPr/>
            </w:pPr>
            <w:r>
              <w:rPr/>
              <w:t> </w:t>
            </w:r>
          </w:p>
        </w:tc>
        <w:tc>
          <w:tcPr>
            <w:tcW w:w="1215" w:type="dxa"/>
            <w:tcBorders/>
            <w:shd w:fill="FFFFFF" w:val="clear"/>
            <w:vAlign w:val="center"/>
          </w:tcPr>
          <w:p>
            <w:pPr>
              <w:pStyle w:val="TableContents"/>
              <w:bidi w:val="0"/>
              <w:spacing w:before="0" w:after="283"/>
              <w:jc w:val="right"/>
              <w:rPr/>
            </w:pPr>
            <w:r>
              <w:rPr/>
              <w:t> </w:t>
            </w:r>
          </w:p>
        </w:tc>
        <w:tc>
          <w:tcPr>
            <w:tcW w:w="72" w:type="dxa"/>
            <w:tcBorders/>
            <w:shd w:fill="FFFFFF" w:val="clear"/>
            <w:vAlign w:val="center"/>
          </w:tcPr>
          <w:p>
            <w:pPr>
              <w:pStyle w:val="TableContents"/>
              <w:bidi w:val="0"/>
              <w:spacing w:before="0" w:after="283"/>
              <w:jc w:val="right"/>
              <w:rPr/>
            </w:pPr>
            <w:r>
              <w:rPr/>
              <w:t> </w:t>
            </w:r>
          </w:p>
        </w:tc>
        <w:tc>
          <w:tcPr>
            <w:tcW w:w="1035" w:type="dxa"/>
            <w:tcBorders/>
            <w:shd w:fill="FFFFFF" w:val="clear"/>
            <w:vAlign w:val="center"/>
          </w:tcPr>
          <w:p>
            <w:pPr>
              <w:pStyle w:val="TableContents"/>
              <w:bidi w:val="0"/>
              <w:spacing w:before="0" w:after="283"/>
              <w:ind w:left="0" w:right="0" w:firstLine="180"/>
              <w:jc w:val="right"/>
              <w:rPr/>
            </w:pPr>
            <w:r>
              <w:rPr/>
              <w:t> </w:t>
            </w:r>
          </w:p>
        </w:tc>
      </w:tr>
      <w:tr>
        <w:trPr/>
        <w:tc>
          <w:tcPr>
            <w:tcW w:w="5840" w:type="dxa"/>
            <w:tcBorders/>
            <w:shd w:fill="D5EAEA" w:val="clear"/>
            <w:vAlign w:val="center"/>
          </w:tcPr>
          <w:p>
            <w:pPr>
              <w:pStyle w:val="TableContents"/>
              <w:bidi w:val="0"/>
              <w:spacing w:before="0" w:after="283"/>
              <w:jc w:val="left"/>
              <w:rPr>
                <w:sz w:val="20"/>
              </w:rPr>
            </w:pPr>
            <w:r>
              <w:rPr>
                <w:sz w:val="20"/>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1089" w:type="dxa"/>
            <w:tcBorders/>
            <w:shd w:fill="D5EAEA" w:val="clear"/>
            <w:vAlign w:val="center"/>
          </w:tcPr>
          <w:p>
            <w:pPr>
              <w:pStyle w:val="TableContents"/>
              <w:bidi w:val="0"/>
              <w:spacing w:before="0" w:after="283"/>
              <w:jc w:val="right"/>
              <w:rPr/>
            </w:pPr>
            <w:r>
              <w:rPr/>
              <w:t>  </w:t>
            </w:r>
            <w:r>
              <w:rPr>
                <w:sz w:val="20"/>
              </w:rPr>
              <w:t>(7,275)</w:t>
            </w:r>
          </w:p>
        </w:tc>
        <w:tc>
          <w:tcPr>
            <w:tcW w:w="72" w:type="dxa"/>
            <w:tcBorders/>
            <w:shd w:fill="D5EAEA" w:val="clear"/>
            <w:vAlign w:val="center"/>
          </w:tcPr>
          <w:p>
            <w:pPr>
              <w:pStyle w:val="TableContents"/>
              <w:bidi w:val="0"/>
              <w:spacing w:before="0" w:after="283"/>
              <w:jc w:val="right"/>
              <w:rPr/>
            </w:pPr>
            <w:r>
              <w:rPr/>
              <w:t> </w:t>
            </w:r>
          </w:p>
        </w:tc>
        <w:tc>
          <w:tcPr>
            <w:tcW w:w="1215" w:type="dxa"/>
            <w:tcBorders/>
            <w:shd w:fill="D5EAEA" w:val="clear"/>
            <w:vAlign w:val="center"/>
          </w:tcPr>
          <w:p>
            <w:pPr>
              <w:pStyle w:val="TableContents"/>
              <w:bidi w:val="0"/>
              <w:spacing w:before="0" w:after="283"/>
              <w:jc w:val="right"/>
              <w:rPr/>
            </w:pPr>
            <w:r>
              <w:rPr/>
              <w:t>  </w:t>
            </w:r>
            <w:r>
              <w:rPr>
                <w:sz w:val="20"/>
              </w:rPr>
              <w:t>(15,152)</w:t>
            </w:r>
          </w:p>
        </w:tc>
        <w:tc>
          <w:tcPr>
            <w:tcW w:w="72" w:type="dxa"/>
            <w:tcBorders/>
            <w:shd w:fill="D5EAEA" w:val="clear"/>
            <w:vAlign w:val="center"/>
          </w:tcPr>
          <w:p>
            <w:pPr>
              <w:pStyle w:val="TableContents"/>
              <w:bidi w:val="0"/>
              <w:spacing w:before="0" w:after="283"/>
              <w:jc w:val="center"/>
              <w:rPr/>
            </w:pPr>
            <w:r>
              <w:rPr/>
              <w:t> </w:t>
            </w:r>
          </w:p>
        </w:tc>
        <w:tc>
          <w:tcPr>
            <w:tcW w:w="1035" w:type="dxa"/>
            <w:tcBorders/>
            <w:shd w:fill="D5EAEA" w:val="clear"/>
            <w:vAlign w:val="center"/>
          </w:tcPr>
          <w:p>
            <w:pPr>
              <w:pStyle w:val="TableContents"/>
              <w:bidi w:val="0"/>
              <w:spacing w:before="0" w:after="283"/>
              <w:ind w:left="0" w:right="0" w:firstLine="180"/>
              <w:jc w:val="right"/>
              <w:rPr/>
            </w:pPr>
            <w:r>
              <w:rPr/>
              <w:t> </w:t>
            </w:r>
            <w:r>
              <w:rPr>
                <w:sz w:val="20"/>
              </w:rPr>
              <w:t>(2,128)</w:t>
            </w:r>
          </w:p>
        </w:tc>
      </w:tr>
      <w:tr>
        <w:trPr/>
        <w:tc>
          <w:tcPr>
            <w:tcW w:w="5840" w:type="dxa"/>
            <w:tcBorders/>
            <w:shd w:fill="FFFFFF" w:val="clear"/>
            <w:vAlign w:val="center"/>
          </w:tcPr>
          <w:p>
            <w:pPr>
              <w:pStyle w:val="TableContents"/>
              <w:bidi w:val="0"/>
              <w:spacing w:before="0" w:after="283"/>
              <w:jc w:val="left"/>
              <w:rPr>
                <w:sz w:val="20"/>
              </w:rPr>
            </w:pPr>
            <w:r>
              <w:rPr>
                <w:sz w:val="20"/>
              </w:rPr>
              <w:t>Unrealized loss on available-for-sale investments, net of tax effect of nil</w:t>
            </w:r>
          </w:p>
        </w:tc>
        <w:tc>
          <w:tcPr>
            <w:tcW w:w="60" w:type="dxa"/>
            <w:tcBorders/>
            <w:shd w:fill="FFFFFF" w:val="cle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2" w:type="dxa"/>
            <w:tcBorders/>
            <w:shd w:fill="FFFFFF" w:val="clear"/>
            <w:vAlign w:val="center"/>
          </w:tcPr>
          <w:p>
            <w:pPr>
              <w:pStyle w:val="TableContents"/>
              <w:bidi w:val="0"/>
              <w:spacing w:before="0" w:after="283"/>
              <w:jc w:val="right"/>
              <w:rPr/>
            </w:pPr>
            <w:r>
              <w:rPr/>
              <w:t> </w:t>
            </w:r>
          </w:p>
        </w:tc>
        <w:tc>
          <w:tcPr>
            <w:tcW w:w="12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8,644  </w:t>
            </w:r>
          </w:p>
        </w:tc>
        <w:tc>
          <w:tcPr>
            <w:tcW w:w="72" w:type="dxa"/>
            <w:tcBorders/>
            <w:shd w:fill="FFFFFF" w:val="clear"/>
            <w:vAlign w:val="center"/>
          </w:tcPr>
          <w:p>
            <w:pPr>
              <w:pStyle w:val="TableContents"/>
              <w:bidi w:val="0"/>
              <w:spacing w:before="0" w:after="283"/>
              <w:jc w:val="center"/>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1,214  </w:t>
            </w:r>
          </w:p>
        </w:tc>
      </w:tr>
      <w:tr>
        <w:trPr/>
        <w:tc>
          <w:tcPr>
            <w:tcW w:w="5840" w:type="dxa"/>
            <w:tcBorders/>
            <w:shd w:fill="D5EAEA" w:val="clear"/>
            <w:vAlign w:val="center"/>
          </w:tcPr>
          <w:p>
            <w:pPr>
              <w:pStyle w:val="TableContents"/>
              <w:bidi w:val="0"/>
              <w:spacing w:before="0" w:after="283"/>
              <w:jc w:val="left"/>
              <w:rPr>
                <w:sz w:val="20"/>
              </w:rPr>
            </w:pPr>
            <w:r>
              <w:rPr>
                <w:sz w:val="20"/>
              </w:rPr>
              <w:t>Total comprehensive income</w:t>
            </w:r>
          </w:p>
        </w:tc>
        <w:tc>
          <w:tcPr>
            <w:tcW w:w="60" w:type="dxa"/>
            <w:tcBorders/>
            <w:shd w:fill="D5EAEA" w:val="clear"/>
            <w:vAlign w:val="center"/>
          </w:tcPr>
          <w:p>
            <w:pPr>
              <w:pStyle w:val="TableContents"/>
              <w:bidi w:val="0"/>
              <w:spacing w:before="0" w:after="283"/>
              <w:jc w:val="left"/>
              <w:rPr/>
            </w:pPr>
            <w:r>
              <w:rPr/>
              <w:t> </w:t>
            </w:r>
          </w:p>
        </w:tc>
        <w:tc>
          <w:tcPr>
            <w:tcW w:w="1089"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277,001  </w:t>
            </w:r>
          </w:p>
        </w:tc>
        <w:tc>
          <w:tcPr>
            <w:tcW w:w="72" w:type="dxa"/>
            <w:tcBorders/>
            <w:shd w:fill="D5EAEA" w:val="clear"/>
            <w:vAlign w:val="center"/>
          </w:tcPr>
          <w:p>
            <w:pPr>
              <w:pStyle w:val="TableContents"/>
              <w:bidi w:val="0"/>
              <w:spacing w:before="0" w:after="283"/>
              <w:jc w:val="right"/>
              <w:rPr/>
            </w:pPr>
            <w:r>
              <w:rPr/>
              <w:t> </w:t>
            </w:r>
          </w:p>
        </w:tc>
        <w:tc>
          <w:tcPr>
            <w:tcW w:w="121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320,749  </w:t>
            </w:r>
          </w:p>
        </w:tc>
        <w:tc>
          <w:tcPr>
            <w:tcW w:w="72" w:type="dxa"/>
            <w:tcBorders/>
            <w:shd w:fill="D5EAEA" w:val="clear"/>
            <w:vAlign w:val="center"/>
          </w:tcPr>
          <w:p>
            <w:pPr>
              <w:pStyle w:val="TableContents"/>
              <w:bidi w:val="0"/>
              <w:spacing w:before="0" w:after="283"/>
              <w:jc w:val="right"/>
              <w:rPr/>
            </w:pPr>
            <w:r>
              <w:rPr/>
              <w:t> </w:t>
            </w:r>
          </w:p>
        </w:tc>
        <w:tc>
          <w:tcPr>
            <w:tcW w:w="103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45,054   </w:t>
            </w:r>
          </w:p>
        </w:tc>
      </w:tr>
      <w:tr>
        <w:trPr/>
        <w:tc>
          <w:tcPr>
            <w:tcW w:w="5840" w:type="dxa"/>
            <w:tcBorders/>
            <w:shd w:fill="FFFFFF" w:val="cle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attributable to non-controlling interest</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2" w:type="dxa"/>
            <w:tcBorders/>
            <w:shd w:fill="FFFFFF" w:val="clear"/>
            <w:vAlign w:val="center"/>
          </w:tcPr>
          <w:p>
            <w:pPr>
              <w:pStyle w:val="TableContents"/>
              <w:bidi w:val="0"/>
              <w:spacing w:before="0" w:after="283"/>
              <w:jc w:val="right"/>
              <w:rPr/>
            </w:pPr>
            <w:r>
              <w:rPr/>
              <w:t> </w:t>
            </w:r>
          </w:p>
        </w:tc>
        <w:tc>
          <w:tcPr>
            <w:tcW w:w="121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2" w:type="dxa"/>
            <w:tcBorders/>
            <w:shd w:fill="FFFFFF" w:val="clear"/>
            <w:vAlign w:val="center"/>
          </w:tcPr>
          <w:p>
            <w:pPr>
              <w:pStyle w:val="TableContents"/>
              <w:bidi w:val="0"/>
              <w:spacing w:before="0" w:after="283"/>
              <w:jc w:val="righ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ind w:left="0" w:right="0" w:hanging="360"/>
              <w:jc w:val="right"/>
              <w:rPr>
                <w:sz w:val="20"/>
              </w:rPr>
            </w:pPr>
            <w:r>
              <w:rPr>
                <w:sz w:val="20"/>
              </w:rPr>
              <w:t>-</w:t>
            </w:r>
          </w:p>
        </w:tc>
      </w:tr>
      <w:tr>
        <w:trPr/>
        <w:tc>
          <w:tcPr>
            <w:tcW w:w="5840" w:type="dxa"/>
            <w:tcBorders/>
            <w:shd w:fill="D5EAEA" w:val="clear"/>
            <w:vAlign w:val="center"/>
          </w:tcPr>
          <w:p>
            <w:pPr>
              <w:pStyle w:val="TableContents"/>
              <w:bidi w:val="0"/>
              <w:spacing w:before="0" w:after="283"/>
              <w:jc w:val="left"/>
              <w:rPr>
                <w:sz w:val="20"/>
              </w:rPr>
            </w:pPr>
            <w:r>
              <w:rPr>
                <w:sz w:val="20"/>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1089"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277,001 </w:t>
            </w:r>
          </w:p>
        </w:tc>
        <w:tc>
          <w:tcPr>
            <w:tcW w:w="72" w:type="dxa"/>
            <w:tcBorders/>
            <w:shd w:fill="D5EAEA" w:val="clear"/>
            <w:vAlign w:val="center"/>
          </w:tcPr>
          <w:p>
            <w:pPr>
              <w:pStyle w:val="TableContents"/>
              <w:bidi w:val="0"/>
              <w:spacing w:before="0" w:after="283"/>
              <w:jc w:val="right"/>
              <w:rPr/>
            </w:pPr>
            <w:r>
              <w:rPr/>
              <w:t> </w:t>
            </w:r>
          </w:p>
        </w:tc>
        <w:tc>
          <w:tcPr>
            <w:tcW w:w="1215" w:type="dxa"/>
            <w:tcBorders>
              <w:bottom w:val="single" w:sz="8" w:space="0" w:color="000000"/>
            </w:tcBorders>
            <w:shd w:fill="D5EAEA" w:val="clear"/>
            <w:tcMar>
              <w:bottom w:w="28" w:type="dxa"/>
            </w:tcMar>
            <w:vAlign w:val="center"/>
          </w:tcPr>
          <w:p>
            <w:pPr>
              <w:pStyle w:val="TableContents"/>
              <w:bidi w:val="0"/>
              <w:spacing w:before="0" w:after="283"/>
              <w:jc w:val="right"/>
              <w:rPr/>
            </w:pPr>
            <w:r>
              <w:rPr/>
              <w:t xml:space="preserve">   </w:t>
            </w:r>
            <w:r>
              <w:rPr>
                <w:sz w:val="20"/>
              </w:rPr>
              <w:t xml:space="preserve">320,749   </w:t>
            </w:r>
          </w:p>
        </w:tc>
        <w:tc>
          <w:tcPr>
            <w:tcW w:w="72" w:type="dxa"/>
            <w:tcBorders/>
            <w:shd w:fill="D5EAEA" w:val="clear"/>
            <w:vAlign w:val="center"/>
          </w:tcPr>
          <w:p>
            <w:pPr>
              <w:pStyle w:val="TableContents"/>
              <w:bidi w:val="0"/>
              <w:spacing w:before="0" w:after="283"/>
              <w:jc w:val="right"/>
              <w:rPr/>
            </w:pPr>
            <w:r>
              <w:rPr/>
              <w:t> </w:t>
            </w:r>
          </w:p>
        </w:tc>
        <w:tc>
          <w:tcPr>
            <w:tcW w:w="103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45,054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888" w:type="dxa"/>
        <w:jc w:val="left"/>
        <w:tblInd w:w="0" w:type="dxa"/>
        <w:tblLayout w:type="fixed"/>
        <w:tblCellMar>
          <w:top w:w="0" w:type="dxa"/>
          <w:left w:w="0" w:type="dxa"/>
          <w:bottom w:w="0" w:type="dxa"/>
          <w:right w:w="0" w:type="dxa"/>
        </w:tblCellMar>
      </w:tblPr>
      <w:tblGrid>
        <w:gridCol w:w="5345"/>
        <w:gridCol w:w="60"/>
        <w:gridCol w:w="1776"/>
        <w:gridCol w:w="91"/>
        <w:gridCol w:w="1616"/>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83"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Nine Months Ended September 30,</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6"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91" w:type="dxa"/>
            <w:tcBorders/>
            <w:shd w:fill="FFFFFF" w:val="clear"/>
            <w:vAlign w:val="center"/>
          </w:tcPr>
          <w:p>
            <w:pPr>
              <w:pStyle w:val="TableContents"/>
              <w:bidi w:val="0"/>
              <w:spacing w:before="0" w:after="283"/>
              <w:jc w:val="center"/>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center"/>
              <w:rPr>
                <w:sz w:val="20"/>
              </w:rPr>
            </w:pPr>
            <w:r>
              <w:rPr>
                <w:sz w:val="20"/>
              </w:rPr>
              <w:t>RMB</w:t>
            </w:r>
          </w:p>
        </w:tc>
        <w:tc>
          <w:tcPr>
            <w:tcW w:w="91"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center"/>
              <w:rPr>
                <w:sz w:val="20"/>
              </w:rPr>
            </w:pPr>
            <w:r>
              <w:rPr>
                <w:sz w:val="20"/>
              </w:rPr>
              <w:t>RMB</w:t>
            </w:r>
          </w:p>
        </w:tc>
      </w:tr>
      <w:tr>
        <w:trPr/>
        <w:tc>
          <w:tcPr>
            <w:tcW w:w="5345"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776" w:type="dxa"/>
            <w:tcBorders>
              <w:bottom w:val="single" w:sz="8" w:space="0" w:color="000000"/>
            </w:tcBorders>
            <w:shd w:fill="D5EAEA" w:val="clear"/>
            <w:tcMar>
              <w:bottom w:w="28" w:type="dxa"/>
            </w:tcMar>
            <w:vAlign w:val="center"/>
          </w:tcPr>
          <w:p>
            <w:pPr>
              <w:pStyle w:val="TableContents"/>
              <w:bidi w:val="0"/>
              <w:spacing w:before="0" w:after="283"/>
              <w:jc w:val="right"/>
              <w:rPr/>
            </w:pPr>
            <w:r>
              <w:rPr/>
              <w:t xml:space="preserve">   </w:t>
            </w:r>
            <w:r>
              <w:rPr>
                <w:sz w:val="20"/>
              </w:rPr>
              <w:t xml:space="preserve">1,506,727   </w:t>
            </w:r>
          </w:p>
        </w:tc>
        <w:tc>
          <w:tcPr>
            <w:tcW w:w="91" w:type="dxa"/>
            <w:tcBorders/>
            <w:shd w:fill="D5EAEA" w:val="clear"/>
            <w:vAlign w:val="center"/>
          </w:tcPr>
          <w:p>
            <w:pPr>
              <w:pStyle w:val="TableContents"/>
              <w:bidi w:val="0"/>
              <w:spacing w:before="0" w:after="283"/>
              <w:jc w:val="right"/>
              <w:rPr/>
            </w:pPr>
            <w:r>
              <w:rPr/>
              <w:t> </w:t>
            </w:r>
          </w:p>
        </w:tc>
        <w:tc>
          <w:tcPr>
            <w:tcW w:w="1616"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1,549,689   </w:t>
            </w:r>
          </w:p>
        </w:tc>
      </w:tr>
      <w:tr>
        <w:trPr/>
        <w:tc>
          <w:tcPr>
            <w:tcW w:w="5345" w:type="dxa"/>
            <w:tcBorders/>
            <w:shd w:fill="FFFFFF" w:val="clear"/>
            <w:vAlign w:val="center"/>
          </w:tcPr>
          <w:p>
            <w:pPr>
              <w:pStyle w:val="TableContents"/>
              <w:bidi w:val="0"/>
              <w:spacing w:before="0" w:after="283"/>
              <w:jc w:val="left"/>
              <w:rPr>
                <w:sz w:val="20"/>
              </w:rPr>
            </w:pPr>
            <w:r>
              <w:rPr>
                <w:sz w:val="20"/>
              </w:rPr>
              <w:t>Less: other revenues</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r>
              <w:rPr>
                <w:sz w:val="20"/>
              </w:rPr>
              <w:t>(205,806)</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r>
              <w:rPr>
                <w:sz w:val="20"/>
              </w:rPr>
              <w:t xml:space="preserve">(180,763) </w:t>
            </w:r>
          </w:p>
        </w:tc>
      </w:tr>
      <w:tr>
        <w:trPr/>
        <w:tc>
          <w:tcPr>
            <w:tcW w:w="5345" w:type="dxa"/>
            <w:tcBorders/>
            <w:shd w:fill="D5EAEA" w:val="clear"/>
            <w:vAlign w:val="center"/>
          </w:tcPr>
          <w:p>
            <w:pPr>
              <w:pStyle w:val="TableContents"/>
              <w:bidi w:val="0"/>
              <w:spacing w:before="0" w:after="283"/>
              <w:jc w:val="left"/>
              <w:rPr>
                <w:sz w:val="20"/>
              </w:rPr>
            </w:pPr>
            <w:r>
              <w:rPr>
                <w:sz w:val="20"/>
              </w:rPr>
              <w:t>Add: tax and surcharges</w:t>
            </w:r>
          </w:p>
        </w:tc>
        <w:tc>
          <w:tcPr>
            <w:tcW w:w="60" w:type="dxa"/>
            <w:tcBorders/>
            <w:shd w:fill="D5EAEA" w:val="clear"/>
            <w:vAlign w:val="center"/>
          </w:tcPr>
          <w:p>
            <w:pPr>
              <w:pStyle w:val="TableContents"/>
              <w:bidi w:val="0"/>
              <w:spacing w:before="0" w:after="283"/>
              <w:jc w:val="left"/>
              <w:rPr/>
            </w:pPr>
            <w:r>
              <w:rPr/>
              <w:t> </w:t>
            </w:r>
          </w:p>
        </w:tc>
        <w:tc>
          <w:tcPr>
            <w:tcW w:w="1776" w:type="dxa"/>
            <w:tcBorders/>
            <w:shd w:fill="D5EAEA" w:val="clear"/>
            <w:vAlign w:val="center"/>
          </w:tcPr>
          <w:p>
            <w:pPr>
              <w:pStyle w:val="TableContents"/>
              <w:bidi w:val="0"/>
              <w:spacing w:before="0" w:after="283"/>
              <w:jc w:val="right"/>
              <w:rPr/>
            </w:pPr>
            <w:r>
              <w:rPr/>
              <w:t>  </w:t>
            </w:r>
            <w:r>
              <w:rPr>
                <w:sz w:val="20"/>
              </w:rPr>
              <w:t xml:space="preserve">56,040   </w:t>
            </w:r>
          </w:p>
        </w:tc>
        <w:tc>
          <w:tcPr>
            <w:tcW w:w="91" w:type="dxa"/>
            <w:tcBorders/>
            <w:shd w:fill="D5EAEA" w:val="clear"/>
            <w:vAlign w:val="center"/>
          </w:tcPr>
          <w:p>
            <w:pPr>
              <w:pStyle w:val="TableContents"/>
              <w:bidi w:val="0"/>
              <w:spacing w:before="0" w:after="283"/>
              <w:jc w:val="right"/>
              <w:rPr/>
            </w:pPr>
            <w:r>
              <w:rPr/>
              <w:t> </w:t>
            </w:r>
          </w:p>
        </w:tc>
        <w:tc>
          <w:tcPr>
            <w:tcW w:w="1616" w:type="dxa"/>
            <w:tcBorders/>
            <w:shd w:fill="D5EAEA" w:val="clear"/>
            <w:vAlign w:val="center"/>
          </w:tcPr>
          <w:p>
            <w:pPr>
              <w:pStyle w:val="TableContents"/>
              <w:bidi w:val="0"/>
              <w:spacing w:before="0" w:after="283"/>
              <w:jc w:val="right"/>
              <w:rPr/>
            </w:pPr>
            <w:r>
              <w:rPr/>
              <w:t> </w:t>
            </w:r>
            <w:r>
              <w:rPr>
                <w:sz w:val="20"/>
              </w:rPr>
              <w:t xml:space="preserve">58,361   </w:t>
            </w:r>
          </w:p>
        </w:tc>
      </w:tr>
      <w:tr>
        <w:trPr/>
        <w:tc>
          <w:tcPr>
            <w:tcW w:w="5345" w:type="dxa"/>
            <w:tcBorders/>
            <w:shd w:fill="FFFFFF" w:val="clear"/>
            <w:vAlign w:val="center"/>
          </w:tcPr>
          <w:p>
            <w:pPr>
              <w:pStyle w:val="TableContents"/>
              <w:bidi w:val="0"/>
              <w:spacing w:before="0" w:after="283"/>
              <w:jc w:val="left"/>
              <w:rPr>
                <w:sz w:val="20"/>
              </w:rPr>
            </w:pPr>
            <w:r>
              <w:rPr>
                <w:sz w:val="20"/>
              </w:rPr>
              <w:t>Add: ending deferred revenue</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r>
              <w:rPr>
                <w:sz w:val="20"/>
              </w:rPr>
              <w:t xml:space="preserve">920,593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r>
              <w:rPr>
                <w:sz w:val="20"/>
              </w:rPr>
              <w:t>695,459  </w:t>
            </w:r>
          </w:p>
        </w:tc>
      </w:tr>
      <w:tr>
        <w:trPr/>
        <w:tc>
          <w:tcPr>
            <w:tcW w:w="5345" w:type="dxa"/>
            <w:tcBorders/>
            <w:shd w:fill="D5EAEA" w:val="clear"/>
            <w:vAlign w:val="center"/>
          </w:tcPr>
          <w:p>
            <w:pPr>
              <w:pStyle w:val="TableContents"/>
              <w:bidi w:val="0"/>
              <w:spacing w:before="0" w:after="283"/>
              <w:jc w:val="left"/>
              <w:rPr>
                <w:sz w:val="20"/>
              </w:rPr>
            </w:pPr>
            <w:r>
              <w:rPr>
                <w:sz w:val="20"/>
              </w:rPr>
              <w:t>Add: deferred revenue in connection with disposal of subsidiaries</w:t>
            </w:r>
          </w:p>
        </w:tc>
        <w:tc>
          <w:tcPr>
            <w:tcW w:w="60" w:type="dxa"/>
            <w:tcBorders/>
            <w:shd w:fill="D5EAEA" w:val="clear"/>
            <w:vAlign w:val="center"/>
          </w:tcPr>
          <w:p>
            <w:pPr>
              <w:pStyle w:val="TableContents"/>
              <w:bidi w:val="0"/>
              <w:spacing w:before="0" w:after="283"/>
              <w:jc w:val="left"/>
              <w:rPr/>
            </w:pPr>
            <w:r>
              <w:rPr/>
              <w:t> </w:t>
            </w:r>
          </w:p>
        </w:tc>
        <w:tc>
          <w:tcPr>
            <w:tcW w:w="1776" w:type="dxa"/>
            <w:tcBorders/>
            <w:shd w:fill="D5EAEA" w:val="clear"/>
            <w:vAlign w:val="center"/>
          </w:tcPr>
          <w:p>
            <w:pPr>
              <w:pStyle w:val="TableContents"/>
              <w:bidi w:val="0"/>
              <w:spacing w:before="0" w:after="283"/>
              <w:jc w:val="right"/>
              <w:rPr/>
            </w:pPr>
            <w:r>
              <w:rPr/>
              <w:t> </w:t>
            </w:r>
            <w:r>
              <w:rPr>
                <w:sz w:val="20"/>
              </w:rPr>
              <w:t xml:space="preserve">3,423 </w:t>
            </w:r>
          </w:p>
        </w:tc>
        <w:tc>
          <w:tcPr>
            <w:tcW w:w="91" w:type="dxa"/>
            <w:tcBorders/>
            <w:shd w:fill="D5EAEA" w:val="clear"/>
            <w:vAlign w:val="center"/>
          </w:tcPr>
          <w:p>
            <w:pPr>
              <w:pStyle w:val="TableContents"/>
              <w:bidi w:val="0"/>
              <w:spacing w:before="0" w:after="283"/>
              <w:jc w:val="right"/>
              <w:rPr/>
            </w:pPr>
            <w:r>
              <w:rPr/>
              <w:t> </w:t>
            </w:r>
          </w:p>
        </w:tc>
        <w:tc>
          <w:tcPr>
            <w:tcW w:w="1616" w:type="dxa"/>
            <w:tcBorders/>
            <w:shd w:fill="D5EAEA" w:val="clear"/>
            <w:vAlign w:val="center"/>
          </w:tcPr>
          <w:p>
            <w:pPr>
              <w:pStyle w:val="TableContents"/>
              <w:bidi w:val="0"/>
              <w:spacing w:before="0" w:after="283"/>
              <w:jc w:val="right"/>
              <w:rPr/>
            </w:pPr>
            <w:r>
              <w:rPr/>
              <w:t> </w:t>
            </w:r>
            <w:r>
              <w:rPr>
                <w:sz w:val="20"/>
              </w:rPr>
              <w:t xml:space="preserve">-   </w:t>
            </w:r>
          </w:p>
        </w:tc>
      </w:tr>
      <w:tr>
        <w:trPr/>
        <w:tc>
          <w:tcPr>
            <w:tcW w:w="5345" w:type="dxa"/>
            <w:tcBorders/>
            <w:shd w:fill="FFFFFF" w:val="clear"/>
            <w:vAlign w:val="center"/>
          </w:tcPr>
          <w:p>
            <w:pPr>
              <w:pStyle w:val="TableContents"/>
              <w:bidi w:val="0"/>
              <w:spacing w:before="0" w:after="283"/>
              <w:jc w:val="left"/>
              <w:rPr>
                <w:sz w:val="20"/>
              </w:rPr>
            </w:pPr>
            <w:r>
              <w:rPr>
                <w:sz w:val="20"/>
              </w:rPr>
              <w:t>Add: ending refund liability</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xml:space="preserve">   </w:t>
            </w:r>
            <w:r>
              <w:rPr>
                <w:sz w:val="20"/>
              </w:rPr>
              <w:t>119,618  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r>
              <w:rPr>
                <w:sz w:val="20"/>
              </w:rPr>
              <w:t xml:space="preserve">67,828   </w:t>
            </w:r>
          </w:p>
        </w:tc>
      </w:tr>
      <w:tr>
        <w:trPr/>
        <w:tc>
          <w:tcPr>
            <w:tcW w:w="5345" w:type="dxa"/>
            <w:tcBorders/>
            <w:shd w:fill="D5EAEA" w:val="clear"/>
            <w:vAlign w:val="center"/>
          </w:tcPr>
          <w:p>
            <w:pPr>
              <w:pStyle w:val="TableContents"/>
              <w:bidi w:val="0"/>
              <w:spacing w:before="0" w:after="283"/>
              <w:jc w:val="left"/>
              <w:rPr>
                <w:sz w:val="20"/>
              </w:rPr>
            </w:pPr>
            <w:r>
              <w:rPr>
                <w:sz w:val="20"/>
              </w:rPr>
              <w:t>Less: beginning deferred revenue</w:t>
            </w:r>
          </w:p>
        </w:tc>
        <w:tc>
          <w:tcPr>
            <w:tcW w:w="60" w:type="dxa"/>
            <w:tcBorders/>
            <w:shd w:fill="D5EAEA" w:val="clear"/>
            <w:vAlign w:val="center"/>
          </w:tcPr>
          <w:p>
            <w:pPr>
              <w:pStyle w:val="TableContents"/>
              <w:bidi w:val="0"/>
              <w:spacing w:before="0" w:after="283"/>
              <w:jc w:val="left"/>
              <w:rPr/>
            </w:pPr>
            <w:r>
              <w:rPr/>
              <w:t> </w:t>
            </w:r>
          </w:p>
        </w:tc>
        <w:tc>
          <w:tcPr>
            <w:tcW w:w="1776" w:type="dxa"/>
            <w:tcBorders/>
            <w:shd w:fill="D5EAEA" w:val="clear"/>
            <w:vAlign w:val="center"/>
          </w:tcPr>
          <w:p>
            <w:pPr>
              <w:pStyle w:val="TableContents"/>
              <w:bidi w:val="0"/>
              <w:spacing w:before="0" w:after="283"/>
              <w:jc w:val="right"/>
              <w:rPr/>
            </w:pPr>
            <w:r>
              <w:rPr/>
              <w:t>  </w:t>
            </w:r>
            <w:r>
              <w:rPr>
                <w:sz w:val="20"/>
              </w:rPr>
              <w:t>(1,113,923)</w:t>
            </w:r>
          </w:p>
        </w:tc>
        <w:tc>
          <w:tcPr>
            <w:tcW w:w="91" w:type="dxa"/>
            <w:tcBorders/>
            <w:shd w:fill="D5EAEA" w:val="clear"/>
            <w:vAlign w:val="center"/>
          </w:tcPr>
          <w:p>
            <w:pPr>
              <w:pStyle w:val="TableContents"/>
              <w:bidi w:val="0"/>
              <w:spacing w:before="0" w:after="283"/>
              <w:jc w:val="right"/>
              <w:rPr/>
            </w:pPr>
            <w:r>
              <w:rPr/>
              <w:t> </w:t>
            </w:r>
          </w:p>
        </w:tc>
        <w:tc>
          <w:tcPr>
            <w:tcW w:w="1616" w:type="dxa"/>
            <w:tcBorders/>
            <w:shd w:fill="D5EAEA" w:val="clear"/>
            <w:vAlign w:val="center"/>
          </w:tcPr>
          <w:p>
            <w:pPr>
              <w:pStyle w:val="TableContents"/>
              <w:bidi w:val="0"/>
              <w:spacing w:before="0" w:after="283"/>
              <w:jc w:val="right"/>
              <w:rPr/>
            </w:pPr>
            <w:r>
              <w:rPr/>
              <w:t> </w:t>
            </w:r>
            <w:r>
              <w:rPr>
                <w:sz w:val="20"/>
              </w:rPr>
              <w:t xml:space="preserve">(916,510) </w:t>
            </w:r>
          </w:p>
        </w:tc>
      </w:tr>
      <w:tr>
        <w:trPr/>
        <w:tc>
          <w:tcPr>
            <w:tcW w:w="5345" w:type="dxa"/>
            <w:tcBorders/>
            <w:shd w:fill="FFFFFF" w:val="clear"/>
            <w:vAlign w:val="center"/>
          </w:tcPr>
          <w:p>
            <w:pPr>
              <w:pStyle w:val="TableContents"/>
              <w:bidi w:val="0"/>
              <w:spacing w:before="0" w:after="283"/>
              <w:jc w:val="left"/>
              <w:rPr>
                <w:sz w:val="20"/>
              </w:rPr>
            </w:pPr>
            <w:r>
              <w:rPr>
                <w:sz w:val="20"/>
              </w:rPr>
              <w:t>Less: beginning refund liability</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r>
              <w:rPr>
                <w:sz w:val="20"/>
              </w:rPr>
              <w:t>(143,744)</w:t>
            </w:r>
          </w:p>
        </w:tc>
        <w:tc>
          <w:tcPr>
            <w:tcW w:w="91" w:type="dxa"/>
            <w:tcBorders/>
            <w:shd w:fill="FFFFFF" w:val="clear"/>
            <w:vAlign w:val="center"/>
          </w:tcPr>
          <w:p>
            <w:pPr>
              <w:pStyle w:val="TableContents"/>
              <w:bidi w:val="0"/>
              <w:spacing w:before="0" w:after="283"/>
              <w:jc w:val="left"/>
              <w:rPr/>
            </w:pPr>
            <w:r>
              <w:rPr/>
              <w:t> </w:t>
            </w:r>
          </w:p>
        </w:tc>
        <w:tc>
          <w:tcPr>
            <w:tcW w:w="1616" w:type="dxa"/>
            <w:tcBorders/>
            <w:shd w:fill="FFFFFF" w:val="clear"/>
            <w:vAlign w:val="center"/>
          </w:tcPr>
          <w:p>
            <w:pPr>
              <w:pStyle w:val="TableContents"/>
              <w:bidi w:val="0"/>
              <w:spacing w:before="0" w:after="283"/>
              <w:jc w:val="right"/>
              <w:rPr>
                <w:sz w:val="20"/>
              </w:rPr>
            </w:pPr>
            <w:r>
              <w:rPr>
                <w:sz w:val="20"/>
              </w:rPr>
              <w:t xml:space="preserve">(112,342) </w:t>
            </w:r>
          </w:p>
        </w:tc>
      </w:tr>
      <w:tr>
        <w:trPr/>
        <w:tc>
          <w:tcPr>
            <w:tcW w:w="5345" w:type="dxa"/>
            <w:tcBorders/>
            <w:shd w:fill="D5EAEA" w:val="clear"/>
            <w:vAlign w:val="center"/>
          </w:tcPr>
          <w:p>
            <w:pPr>
              <w:pStyle w:val="TableContents"/>
              <w:bidi w:val="0"/>
              <w:spacing w:before="0" w:after="283"/>
              <w:jc w:val="left"/>
              <w:rPr>
                <w:sz w:val="20"/>
              </w:rPr>
            </w:pPr>
            <w:r>
              <w:rPr>
                <w:sz w:val="20"/>
              </w:rPr>
              <w:t>Gross billings (non-GAAP)</w:t>
            </w:r>
          </w:p>
        </w:tc>
        <w:tc>
          <w:tcPr>
            <w:tcW w:w="60" w:type="dxa"/>
            <w:tcBorders/>
            <w:shd w:fill="D5EAEA" w:val="clear"/>
            <w:vAlign w:val="center"/>
          </w:tcPr>
          <w:p>
            <w:pPr>
              <w:pStyle w:val="TableContents"/>
              <w:bidi w:val="0"/>
              <w:spacing w:before="0" w:after="283"/>
              <w:jc w:val="left"/>
              <w:rPr/>
            </w:pPr>
            <w:r>
              <w:rPr/>
              <w:t> </w:t>
            </w:r>
          </w:p>
        </w:tc>
        <w:tc>
          <w:tcPr>
            <w:tcW w:w="1776"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 xml:space="preserve">1,142,928   </w:t>
            </w:r>
          </w:p>
        </w:tc>
        <w:tc>
          <w:tcPr>
            <w:tcW w:w="91" w:type="dxa"/>
            <w:tcBorders/>
            <w:shd w:fill="D5EAEA" w:val="clear"/>
            <w:vAlign w:val="center"/>
          </w:tcPr>
          <w:p>
            <w:pPr>
              <w:pStyle w:val="TableContents"/>
              <w:bidi w:val="0"/>
              <w:spacing w:before="0" w:after="283"/>
              <w:jc w:val="right"/>
              <w:rPr/>
            </w:pPr>
            <w:r>
              <w:rPr/>
              <w:t> </w:t>
            </w:r>
          </w:p>
        </w:tc>
        <w:tc>
          <w:tcPr>
            <w:tcW w:w="1616"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 xml:space="preserve">1,161,722  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p>
        </w:tc>
      </w:tr>
      <w:tr>
        <w:trPr/>
        <w:tc>
          <w:tcPr>
            <w:tcW w:w="534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776" w:type="dxa"/>
            <w:tcBorders/>
            <w:shd w:fill="D5EAEA" w:val="clear"/>
            <w:vAlign w:val="center"/>
          </w:tcPr>
          <w:p>
            <w:pPr>
              <w:pStyle w:val="TableContents"/>
              <w:bidi w:val="0"/>
              <w:spacing w:before="0" w:after="283"/>
              <w:jc w:val="right"/>
              <w:rPr/>
            </w:pPr>
            <w:r>
              <w:rPr/>
              <w:t> </w:t>
            </w:r>
          </w:p>
        </w:tc>
        <w:tc>
          <w:tcPr>
            <w:tcW w:w="91" w:type="dxa"/>
            <w:tcBorders/>
            <w:shd w:fill="D5EAEA" w:val="clear"/>
            <w:vAlign w:val="center"/>
          </w:tcPr>
          <w:p>
            <w:pPr>
              <w:pStyle w:val="TableContents"/>
              <w:bidi w:val="0"/>
              <w:spacing w:before="0" w:after="283"/>
              <w:jc w:val="right"/>
              <w:rPr/>
            </w:pPr>
            <w:r>
              <w:rPr/>
              <w:t> </w:t>
            </w:r>
          </w:p>
        </w:tc>
        <w:tc>
          <w:tcPr>
            <w:tcW w:w="1616" w:type="dxa"/>
            <w:tcBorders/>
            <w:shd w:fill="D5EAEA" w:val="clear"/>
            <w:vAlign w:val="center"/>
          </w:tcPr>
          <w:p>
            <w:pPr>
              <w:pStyle w:val="TableContents"/>
              <w:bidi w:val="0"/>
              <w:spacing w:before="0" w:after="283"/>
              <w:jc w:val="righ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p>
        </w:tc>
      </w:tr>
      <w:tr>
        <w:trPr/>
        <w:tc>
          <w:tcPr>
            <w:tcW w:w="5345"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776"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284,276   </w:t>
            </w:r>
          </w:p>
        </w:tc>
        <w:tc>
          <w:tcPr>
            <w:tcW w:w="91" w:type="dxa"/>
            <w:tcBorders/>
            <w:shd w:fill="D5EAEA" w:val="clear"/>
            <w:vAlign w:val="center"/>
          </w:tcPr>
          <w:p>
            <w:pPr>
              <w:pStyle w:val="TableContents"/>
              <w:bidi w:val="0"/>
              <w:spacing w:before="0" w:after="283"/>
              <w:jc w:val="right"/>
              <w:rPr/>
            </w:pPr>
            <w:r>
              <w:rPr/>
              <w:t> </w:t>
            </w:r>
          </w:p>
        </w:tc>
        <w:tc>
          <w:tcPr>
            <w:tcW w:w="1616"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327,257  </w:t>
            </w:r>
          </w:p>
        </w:tc>
      </w:tr>
      <w:tr>
        <w:trPr/>
        <w:tc>
          <w:tcPr>
            <w:tcW w:w="5345" w:type="dxa"/>
            <w:tcBorders/>
            <w:shd w:fill="FFFFFF" w:val="clear"/>
            <w:vAlign w:val="center"/>
          </w:tcPr>
          <w:p>
            <w:pPr>
              <w:pStyle w:val="TableContents"/>
              <w:bidi w:val="0"/>
              <w:spacing w:before="0" w:after="283"/>
              <w:jc w:val="left"/>
              <w:rPr>
                <w:sz w:val="20"/>
              </w:rPr>
            </w:pPr>
            <w:r>
              <w:rPr>
                <w:sz w:val="20"/>
              </w:rPr>
              <w:t>Add: income tax (benefit)/expenses</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r>
              <w:rPr>
                <w:sz w:val="20"/>
              </w:rPr>
              <w:t xml:space="preserve">(6,975)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r>
              <w:rPr>
                <w:sz w:val="20"/>
              </w:rPr>
              <w:t>47,684  </w:t>
            </w:r>
          </w:p>
        </w:tc>
      </w:tr>
      <w:tr>
        <w:trPr/>
        <w:tc>
          <w:tcPr>
            <w:tcW w:w="5345" w:type="dxa"/>
            <w:tcBorders/>
            <w:shd w:fill="D5EAEA" w:val="clear"/>
            <w:vAlign w:val="center"/>
          </w:tcPr>
          <w:p>
            <w:pPr>
              <w:pStyle w:val="TableContents"/>
              <w:bidi w:val="0"/>
              <w:spacing w:before="0" w:after="283"/>
              <w:jc w:val="left"/>
              <w:rPr>
                <w:sz w:val="20"/>
              </w:rPr>
            </w:pPr>
            <w:r>
              <w:rPr>
                <w:sz w:val="20"/>
              </w:rPr>
              <w:t>Add: depreciation and amortization</w:t>
            </w:r>
          </w:p>
        </w:tc>
        <w:tc>
          <w:tcPr>
            <w:tcW w:w="60" w:type="dxa"/>
            <w:tcBorders/>
            <w:shd w:fill="D5EAEA" w:val="clear"/>
            <w:vAlign w:val="center"/>
          </w:tcPr>
          <w:p>
            <w:pPr>
              <w:pStyle w:val="TableContents"/>
              <w:bidi w:val="0"/>
              <w:spacing w:before="0" w:after="283"/>
              <w:jc w:val="left"/>
              <w:rPr/>
            </w:pPr>
            <w:r>
              <w:rPr/>
              <w:t> </w:t>
            </w:r>
          </w:p>
        </w:tc>
        <w:tc>
          <w:tcPr>
            <w:tcW w:w="1776" w:type="dxa"/>
            <w:tcBorders/>
            <w:shd w:fill="D5EAEA" w:val="clear"/>
            <w:vAlign w:val="center"/>
          </w:tcPr>
          <w:p>
            <w:pPr>
              <w:pStyle w:val="TableContents"/>
              <w:bidi w:val="0"/>
              <w:spacing w:before="0" w:after="283"/>
              <w:jc w:val="right"/>
              <w:rPr/>
            </w:pPr>
            <w:r>
              <w:rPr/>
              <w:t>  </w:t>
            </w:r>
            <w:r>
              <w:rPr>
                <w:sz w:val="20"/>
              </w:rPr>
              <w:t xml:space="preserve">22,148 </w:t>
            </w:r>
          </w:p>
        </w:tc>
        <w:tc>
          <w:tcPr>
            <w:tcW w:w="91" w:type="dxa"/>
            <w:tcBorders/>
            <w:shd w:fill="D5EAEA" w:val="clear"/>
            <w:vAlign w:val="center"/>
          </w:tcPr>
          <w:p>
            <w:pPr>
              <w:pStyle w:val="TableContents"/>
              <w:bidi w:val="0"/>
              <w:spacing w:before="0" w:after="283"/>
              <w:jc w:val="right"/>
              <w:rPr/>
            </w:pPr>
            <w:r>
              <w:rPr/>
              <w:t> </w:t>
            </w:r>
          </w:p>
        </w:tc>
        <w:tc>
          <w:tcPr>
            <w:tcW w:w="1616" w:type="dxa"/>
            <w:tcBorders/>
            <w:shd w:fill="D5EAEA" w:val="clear"/>
            <w:vAlign w:val="center"/>
          </w:tcPr>
          <w:p>
            <w:pPr>
              <w:pStyle w:val="TableContents"/>
              <w:bidi w:val="0"/>
              <w:spacing w:before="0" w:after="283"/>
              <w:jc w:val="right"/>
              <w:rPr/>
            </w:pPr>
            <w:r>
              <w:rPr/>
              <w:t> </w:t>
            </w:r>
            <w:r>
              <w:rPr>
                <w:sz w:val="20"/>
              </w:rPr>
              <w:t>21,622  </w:t>
            </w:r>
          </w:p>
        </w:tc>
      </w:tr>
      <w:tr>
        <w:trPr/>
        <w:tc>
          <w:tcPr>
            <w:tcW w:w="5345" w:type="dxa"/>
            <w:tcBorders/>
            <w:shd w:fill="FFFFFF" w:val="clear"/>
            <w:vAlign w:val="center"/>
          </w:tcPr>
          <w:p>
            <w:pPr>
              <w:pStyle w:val="TableContents"/>
              <w:bidi w:val="0"/>
              <w:spacing w:before="0" w:after="283"/>
              <w:jc w:val="left"/>
              <w:rPr>
                <w:sz w:val="20"/>
              </w:rPr>
            </w:pPr>
            <w:r>
              <w:rPr>
                <w:sz w:val="20"/>
              </w:rPr>
              <w:t>Add: interest expense</w:t>
            </w:r>
          </w:p>
        </w:tc>
        <w:tc>
          <w:tcPr>
            <w:tcW w:w="60" w:type="dxa"/>
            <w:tcBorders/>
            <w:shd w:fill="FFFFFF" w:val="clear"/>
            <w:vAlign w:val="center"/>
          </w:tcPr>
          <w:p>
            <w:pPr>
              <w:pStyle w:val="TableContents"/>
              <w:bidi w:val="0"/>
              <w:spacing w:before="0" w:after="283"/>
              <w:jc w:val="left"/>
              <w:rPr/>
            </w:pPr>
            <w:r>
              <w:rPr/>
              <w:t> </w:t>
            </w:r>
          </w:p>
        </w:tc>
        <w:tc>
          <w:tcPr>
            <w:tcW w:w="1776" w:type="dxa"/>
            <w:tcBorders/>
            <w:shd w:fill="FFFFFF" w:val="clear"/>
            <w:vAlign w:val="center"/>
          </w:tcPr>
          <w:p>
            <w:pPr>
              <w:pStyle w:val="TableContents"/>
              <w:bidi w:val="0"/>
              <w:spacing w:before="0" w:after="283"/>
              <w:jc w:val="right"/>
              <w:rPr/>
            </w:pPr>
            <w:r>
              <w:rPr/>
              <w:t>  </w:t>
            </w:r>
            <w:r>
              <w:rPr>
                <w:sz w:val="20"/>
              </w:rPr>
              <w:t>4,535  </w:t>
            </w:r>
          </w:p>
        </w:tc>
        <w:tc>
          <w:tcPr>
            <w:tcW w:w="91" w:type="dxa"/>
            <w:tcBorders/>
            <w:shd w:fill="FFFFFF" w:val="clear"/>
            <w:vAlign w:val="center"/>
          </w:tcPr>
          <w:p>
            <w:pPr>
              <w:pStyle w:val="TableContents"/>
              <w:bidi w:val="0"/>
              <w:spacing w:before="0" w:after="283"/>
              <w:jc w:val="right"/>
              <w:rPr/>
            </w:pPr>
            <w:r>
              <w:rPr/>
              <w:t> </w:t>
            </w:r>
          </w:p>
        </w:tc>
        <w:tc>
          <w:tcPr>
            <w:tcW w:w="1616" w:type="dxa"/>
            <w:tcBorders/>
            <w:shd w:fill="FFFFFF" w:val="clear"/>
            <w:vAlign w:val="center"/>
          </w:tcPr>
          <w:p>
            <w:pPr>
              <w:pStyle w:val="TableContents"/>
              <w:bidi w:val="0"/>
              <w:spacing w:before="0" w:after="283"/>
              <w:jc w:val="right"/>
              <w:rPr/>
            </w:pPr>
            <w:r>
              <w:rPr/>
              <w:t> </w:t>
            </w:r>
            <w:r>
              <w:rPr>
                <w:sz w:val="20"/>
              </w:rPr>
              <w:t>794  </w:t>
            </w:r>
          </w:p>
        </w:tc>
      </w:tr>
      <w:tr>
        <w:trPr/>
        <w:tc>
          <w:tcPr>
            <w:tcW w:w="5345" w:type="dxa"/>
            <w:tcBorders/>
            <w:shd w:fill="D5EAEA" w:val="clear"/>
            <w:vAlign w:val="center"/>
          </w:tcPr>
          <w:p>
            <w:pPr>
              <w:pStyle w:val="TableContents"/>
              <w:bidi w:val="0"/>
              <w:spacing w:before="0" w:after="283"/>
              <w:jc w:val="left"/>
              <w:rPr>
                <w:sz w:val="20"/>
              </w:rPr>
            </w:pPr>
            <w:r>
              <w:rPr>
                <w:sz w:val="20"/>
              </w:rPr>
              <w:t>Less: interest income</w:t>
            </w:r>
          </w:p>
        </w:tc>
        <w:tc>
          <w:tcPr>
            <w:tcW w:w="60" w:type="dxa"/>
            <w:tcBorders/>
            <w:shd w:fill="D5EAEA" w:val="clear"/>
            <w:vAlign w:val="center"/>
          </w:tcPr>
          <w:p>
            <w:pPr>
              <w:pStyle w:val="TableContents"/>
              <w:bidi w:val="0"/>
              <w:spacing w:before="0" w:after="283"/>
              <w:jc w:val="left"/>
              <w:rPr/>
            </w:pPr>
            <w:r>
              <w:rPr/>
              <w:t> </w:t>
            </w:r>
          </w:p>
        </w:tc>
        <w:tc>
          <w:tcPr>
            <w:tcW w:w="1776"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(27,675)</w:t>
            </w:r>
          </w:p>
        </w:tc>
        <w:tc>
          <w:tcPr>
            <w:tcW w:w="91" w:type="dxa"/>
            <w:tcBorders/>
            <w:shd w:fill="D5EAEA" w:val="clear"/>
            <w:vAlign w:val="center"/>
          </w:tcPr>
          <w:p>
            <w:pPr>
              <w:pStyle w:val="TableContents"/>
              <w:bidi w:val="0"/>
              <w:spacing w:before="0" w:after="283"/>
              <w:jc w:val="right"/>
              <w:rPr/>
            </w:pPr>
            <w:r>
              <w:rPr/>
              <w:t> </w:t>
            </w:r>
          </w:p>
        </w:tc>
        <w:tc>
          <w:tcPr>
            <w:tcW w:w="1616"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 xml:space="preserve">(18,603) </w:t>
            </w:r>
          </w:p>
        </w:tc>
      </w:tr>
      <w:tr>
        <w:trPr/>
        <w:tc>
          <w:tcPr>
            <w:tcW w:w="5345" w:type="dxa"/>
            <w:tcBorders/>
            <w:shd w:fill="FFFFFF" w:val="clear"/>
            <w:vAlign w:val="center"/>
          </w:tcPr>
          <w:p>
            <w:pPr>
              <w:pStyle w:val="TableContents"/>
              <w:bidi w:val="0"/>
              <w:spacing w:before="0" w:after="283"/>
              <w:jc w:val="left"/>
              <w:rPr>
                <w:sz w:val="20"/>
              </w:rPr>
            </w:pPr>
            <w:r>
              <w:rPr>
                <w:sz w:val="20"/>
              </w:rPr>
              <w:t>EBITDA (non-GAAP)</w:t>
            </w:r>
          </w:p>
        </w:tc>
        <w:tc>
          <w:tcPr>
            <w:tcW w:w="60" w:type="dxa"/>
            <w:tcBorders/>
            <w:shd w:fill="FFFFFF" w:val="clear"/>
            <w:vAlign w:val="center"/>
          </w:tcPr>
          <w:p>
            <w:pPr>
              <w:pStyle w:val="TableContents"/>
              <w:bidi w:val="0"/>
              <w:spacing w:before="0" w:after="283"/>
              <w:jc w:val="left"/>
              <w:rPr/>
            </w:pPr>
            <w:r>
              <w:rPr/>
              <w:t> </w:t>
            </w:r>
          </w:p>
        </w:tc>
        <w:tc>
          <w:tcPr>
            <w:tcW w:w="1776"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sz w:val="20"/>
              </w:rPr>
              <w:t>276,309  </w:t>
            </w:r>
          </w:p>
        </w:tc>
        <w:tc>
          <w:tcPr>
            <w:tcW w:w="91" w:type="dxa"/>
            <w:tcBorders/>
            <w:shd w:fill="FFFFFF" w:val="clear"/>
            <w:vAlign w:val="center"/>
          </w:tcPr>
          <w:p>
            <w:pPr>
              <w:pStyle w:val="TableContents"/>
              <w:bidi w:val="0"/>
              <w:spacing w:before="0" w:after="283"/>
              <w:jc w:val="right"/>
              <w:rPr/>
            </w:pPr>
            <w:r>
              <w:rPr/>
              <w:t> </w:t>
            </w:r>
          </w:p>
        </w:tc>
        <w:tc>
          <w:tcPr>
            <w:tcW w:w="1616"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sz w:val="20"/>
              </w:rPr>
              <w:t>378,754  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3900</Words>
  <Characters>23023</Characters>
  <CharactersWithSpaces>27827</CharactersWithSpaces>
  <Paragraphs>1531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